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000" w:rsidRDefault="00DA6563">
      <w:pPr>
        <w:widowControl w:val="0"/>
        <w:autoSpaceDE w:val="0"/>
        <w:autoSpaceDN w:val="0"/>
        <w:adjustRightInd w:val="0"/>
        <w:spacing w:after="0" w:line="240" w:lineRule="auto"/>
        <w:jc w:val="center"/>
        <w:rPr>
          <w:rFonts w:ascii="Times New Roman CYR" w:hAnsi="Times New Roman CYR" w:cs="Times New Roman CYR"/>
          <w:sz w:val="28"/>
          <w:szCs w:val="28"/>
        </w:rPr>
      </w:pPr>
      <w:bookmarkStart w:id="0" w:name="_GoBack"/>
      <w:bookmarkEnd w:id="0"/>
      <w:r>
        <w:rPr>
          <w:rFonts w:ascii="Times New Roman CYR" w:hAnsi="Times New Roman CYR" w:cs="Times New Roman CYR"/>
          <w:b/>
          <w:bCs/>
          <w:sz w:val="28"/>
          <w:szCs w:val="28"/>
        </w:rPr>
        <w:t>Титульний аркуш</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8"/>
          <w:szCs w:val="28"/>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230"/>
      </w:tblGrid>
      <w:tr w:rsidR="00000000">
        <w:tblPrEx>
          <w:tblCellMar>
            <w:top w:w="0" w:type="dxa"/>
            <w:bottom w:w="0" w:type="dxa"/>
          </w:tblCellMar>
        </w:tblPrEx>
        <w:trPr>
          <w:trHeight w:val="300"/>
        </w:trPr>
        <w:tc>
          <w:tcPr>
            <w:tcW w:w="5230" w:type="dxa"/>
            <w:tcBorders>
              <w:top w:val="nil"/>
              <w:left w:val="nil"/>
              <w:bottom w:val="single" w:sz="6" w:space="0" w:color="auto"/>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25.03.2025</w:t>
            </w:r>
          </w:p>
        </w:tc>
      </w:tr>
      <w:tr w:rsidR="00000000">
        <w:tblPrEx>
          <w:tblBorders>
            <w:bottom w:val="none" w:sz="0" w:space="0" w:color="auto"/>
          </w:tblBorders>
          <w:tblCellMar>
            <w:top w:w="0" w:type="dxa"/>
            <w:bottom w:w="0" w:type="dxa"/>
          </w:tblCellMar>
        </w:tblPrEx>
        <w:trPr>
          <w:trHeight w:val="300"/>
        </w:trPr>
        <w:tc>
          <w:tcPr>
            <w:tcW w:w="5230" w:type="dxa"/>
            <w:tcBorders>
              <w:top w:val="nil"/>
              <w:left w:val="nil"/>
              <w:bottom w:val="nil"/>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(дата реєстрації особою електронного документа)</w:t>
            </w:r>
          </w:p>
        </w:tc>
      </w:tr>
      <w:tr w:rsidR="00000000">
        <w:tblPrEx>
          <w:tblCellMar>
            <w:top w:w="0" w:type="dxa"/>
            <w:bottom w:w="0" w:type="dxa"/>
          </w:tblCellMar>
        </w:tblPrEx>
        <w:trPr>
          <w:trHeight w:val="300"/>
        </w:trPr>
        <w:tc>
          <w:tcPr>
            <w:tcW w:w="5230" w:type="dxa"/>
            <w:tcBorders>
              <w:top w:val="nil"/>
              <w:left w:val="nil"/>
              <w:bottom w:val="single" w:sz="6" w:space="0" w:color="auto"/>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w:t>
            </w:r>
          </w:p>
        </w:tc>
      </w:tr>
      <w:tr w:rsidR="00000000">
        <w:tblPrEx>
          <w:tblCellMar>
            <w:top w:w="0" w:type="dxa"/>
            <w:bottom w:w="0" w:type="dxa"/>
          </w:tblCellMar>
        </w:tblPrEx>
        <w:trPr>
          <w:trHeight w:val="300"/>
        </w:trPr>
        <w:tc>
          <w:tcPr>
            <w:tcW w:w="5230" w:type="dxa"/>
            <w:tcBorders>
              <w:top w:val="nil"/>
              <w:left w:val="nil"/>
              <w:bottom w:val="nil"/>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(вихідний реєстраційний номер електронного документа)</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0"/>
          <w:szCs w:val="20"/>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465"/>
      </w:tblGrid>
      <w:tr w:rsidR="00000000">
        <w:tblPrEx>
          <w:tblCellMar>
            <w:top w:w="0" w:type="dxa"/>
            <w:bottom w:w="0" w:type="dxa"/>
          </w:tblCellMar>
        </w:tblPrEx>
        <w:trPr>
          <w:trHeight w:val="300"/>
        </w:trPr>
        <w:tc>
          <w:tcPr>
            <w:tcW w:w="10465" w:type="dxa"/>
            <w:tcBorders>
              <w:top w:val="nil"/>
              <w:left w:val="nil"/>
              <w:bottom w:val="nil"/>
              <w:right w:val="nil"/>
            </w:tcBorders>
            <w:vAlign w:val="bottom"/>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Підтверджую ідентичність та достовірність інформації, що розкрита відповідно до вимог Положення про розкриття інформації емітентами цінних паперів, а також особами, які надають забезпечення за такими цінними паперами (далі - Положення).</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415"/>
        <w:gridCol w:w="236"/>
        <w:gridCol w:w="3334"/>
        <w:gridCol w:w="236"/>
        <w:gridCol w:w="3284"/>
      </w:tblGrid>
      <w:tr w:rsidR="00000000">
        <w:tblPrEx>
          <w:tblCellMar>
            <w:top w:w="0" w:type="dxa"/>
            <w:bottom w:w="0" w:type="dxa"/>
          </w:tblCellMar>
        </w:tblPrEx>
        <w:trPr>
          <w:trHeight w:val="200"/>
        </w:trPr>
        <w:tc>
          <w:tcPr>
            <w:tcW w:w="3415" w:type="dxa"/>
            <w:tcBorders>
              <w:top w:val="nil"/>
              <w:left w:val="nil"/>
              <w:bottom w:val="single" w:sz="6" w:space="0" w:color="auto"/>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Голова правлiння</w:t>
            </w:r>
          </w:p>
        </w:tc>
        <w:tc>
          <w:tcPr>
            <w:tcW w:w="216" w:type="dxa"/>
            <w:tcBorders>
              <w:top w:val="nil"/>
              <w:left w:val="nil"/>
              <w:bottom w:val="nil"/>
              <w:right w:val="nil"/>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3334" w:type="dxa"/>
            <w:tcBorders>
              <w:top w:val="nil"/>
              <w:left w:val="nil"/>
              <w:bottom w:val="single" w:sz="6" w:space="0" w:color="auto"/>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216" w:type="dxa"/>
            <w:tcBorders>
              <w:top w:val="nil"/>
              <w:left w:val="nil"/>
              <w:bottom w:val="nil"/>
              <w:right w:val="nil"/>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3284" w:type="dxa"/>
            <w:tcBorders>
              <w:top w:val="nil"/>
              <w:left w:val="nil"/>
              <w:bottom w:val="single" w:sz="6" w:space="0" w:color="auto"/>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КОЖУХАР ВАЛЕРIЙ ОЛЕКСАНДРОВИЧ</w:t>
            </w:r>
          </w:p>
        </w:tc>
      </w:tr>
      <w:tr w:rsidR="00000000">
        <w:tblPrEx>
          <w:tblCellMar>
            <w:top w:w="0" w:type="dxa"/>
            <w:bottom w:w="0" w:type="dxa"/>
          </w:tblCellMar>
        </w:tblPrEx>
        <w:trPr>
          <w:trHeight w:val="200"/>
        </w:trPr>
        <w:tc>
          <w:tcPr>
            <w:tcW w:w="3415" w:type="dxa"/>
            <w:tcBorders>
              <w:top w:val="nil"/>
              <w:left w:val="nil"/>
              <w:bottom w:val="nil"/>
              <w:right w:val="nil"/>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(посада)</w:t>
            </w:r>
          </w:p>
        </w:tc>
        <w:tc>
          <w:tcPr>
            <w:tcW w:w="216" w:type="dxa"/>
            <w:tcBorders>
              <w:top w:val="nil"/>
              <w:left w:val="nil"/>
              <w:bottom w:val="nil"/>
              <w:right w:val="nil"/>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3334" w:type="dxa"/>
            <w:tcBorders>
              <w:top w:val="nil"/>
              <w:left w:val="nil"/>
              <w:bottom w:val="nil"/>
              <w:right w:val="nil"/>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(місце для накладання електронного підпису уповноваженої особи емітента/особи, яка надає забезпечення, що базується на кваліфікованому сертифікаті відкритого ключа)</w:t>
            </w:r>
          </w:p>
        </w:tc>
        <w:tc>
          <w:tcPr>
            <w:tcW w:w="216" w:type="dxa"/>
            <w:tcBorders>
              <w:top w:val="nil"/>
              <w:left w:val="nil"/>
              <w:bottom w:val="nil"/>
              <w:right w:val="nil"/>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3284" w:type="dxa"/>
            <w:tcBorders>
              <w:top w:val="nil"/>
              <w:left w:val="nil"/>
              <w:bottom w:val="nil"/>
              <w:right w:val="nil"/>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(прізвище та ініціали керівника або уповноваженої особи)</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0"/>
          <w:szCs w:val="20"/>
        </w:r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Річний звіт</w:t>
      </w: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АКЦIОНЕРНЕ ТОВАРИСТВО "ЯМПIЛЬСЬКИЙ ПРИЛАДОБУДIВНИЙ ЗАВОД" (14309729)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за 2024 рік</w:t>
      </w: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Рішення про затвердження річного звіту: Рішення наглядової ради емітента від 24.03.2025, Затвердити рiчну iнформацiю за 2024 рiк, розмiстити на власному сайтi та подати до НКЦПФР</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Особа, яка здійснює діяльність з оприлюднення регульованої інформації: Держав</w:t>
      </w:r>
      <w:r>
        <w:rPr>
          <w:rFonts w:ascii="Times New Roman CYR" w:hAnsi="Times New Roman CYR" w:cs="Times New Roman CYR"/>
          <w:sz w:val="24"/>
          <w:szCs w:val="24"/>
        </w:rPr>
        <w:t>на установа "Агентство з розвитку iнфраструктури фондового ринку України", 21676262, Україна, DR/00001/APA</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Особа, яка здійснює подання звітності та/або звітних даних до Національної комісії з цінних паперів та фондового ринку: Державна установа "Агентство </w:t>
      </w:r>
      <w:r>
        <w:rPr>
          <w:rFonts w:ascii="Times New Roman CYR" w:hAnsi="Times New Roman CYR" w:cs="Times New Roman CYR"/>
          <w:sz w:val="24"/>
          <w:szCs w:val="24"/>
        </w:rPr>
        <w:t>з розвитку iнфраструктури фондового ринку України", 21676262, Україна, DR/00002/ARM</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Дані про дату та місце оприлюднення річної інформації:</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415"/>
        <w:gridCol w:w="5165"/>
        <w:gridCol w:w="1885"/>
      </w:tblGrid>
      <w:tr w:rsidR="00000000">
        <w:tblPrEx>
          <w:tblCellMar>
            <w:top w:w="0" w:type="dxa"/>
            <w:bottom w:w="0" w:type="dxa"/>
          </w:tblCellMar>
        </w:tblPrEx>
        <w:trPr>
          <w:trHeight w:val="300"/>
        </w:trPr>
        <w:tc>
          <w:tcPr>
            <w:tcW w:w="3415" w:type="dxa"/>
            <w:vMerge w:val="restart"/>
            <w:tcBorders>
              <w:top w:val="nil"/>
              <w:left w:val="nil"/>
              <w:bottom w:val="nil"/>
              <w:right w:val="nil"/>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Річну інформацію розміщено на власному вебсайті емітента</w:t>
            </w:r>
          </w:p>
        </w:tc>
        <w:tc>
          <w:tcPr>
            <w:tcW w:w="5165" w:type="dxa"/>
            <w:tcBorders>
              <w:top w:val="nil"/>
              <w:left w:val="nil"/>
              <w:bottom w:val="single" w:sz="6" w:space="0" w:color="auto"/>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www.jampprilad.pat.ua</w:t>
            </w:r>
          </w:p>
        </w:tc>
        <w:tc>
          <w:tcPr>
            <w:tcW w:w="1885" w:type="dxa"/>
            <w:tcBorders>
              <w:top w:val="nil"/>
              <w:left w:val="nil"/>
              <w:bottom w:val="single" w:sz="6" w:space="0" w:color="auto"/>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25.03.2025</w:t>
            </w:r>
          </w:p>
        </w:tc>
      </w:tr>
      <w:tr w:rsidR="00000000">
        <w:tblPrEx>
          <w:tblCellMar>
            <w:top w:w="0" w:type="dxa"/>
            <w:bottom w:w="0" w:type="dxa"/>
          </w:tblCellMar>
        </w:tblPrEx>
        <w:trPr>
          <w:trHeight w:val="300"/>
        </w:trPr>
        <w:tc>
          <w:tcPr>
            <w:tcW w:w="3415" w:type="dxa"/>
            <w:vMerge/>
            <w:tcBorders>
              <w:top w:val="nil"/>
              <w:left w:val="nil"/>
              <w:bottom w:val="nil"/>
              <w:right w:val="nil"/>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0"/>
                <w:szCs w:val="20"/>
              </w:rPr>
            </w:pPr>
          </w:p>
        </w:tc>
        <w:tc>
          <w:tcPr>
            <w:tcW w:w="5165" w:type="dxa"/>
            <w:tcBorders>
              <w:top w:val="nil"/>
              <w:left w:val="nil"/>
              <w:bottom w:val="nil"/>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(URL-адреса вебсайту)</w:t>
            </w:r>
          </w:p>
        </w:tc>
        <w:tc>
          <w:tcPr>
            <w:tcW w:w="1885" w:type="dxa"/>
            <w:tcBorders>
              <w:top w:val="nil"/>
              <w:left w:val="nil"/>
              <w:bottom w:val="nil"/>
              <w:right w:val="nil"/>
            </w:tcBorders>
            <w:vAlign w:val="bottom"/>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(дата)</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0"/>
          <w:szCs w:val="20"/>
        </w:rPr>
        <w:sectPr w:rsidR="00000000">
          <w:pgSz w:w="12240" w:h="15840"/>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lastRenderedPageBreak/>
        <w:t>Пояснення щодо розкриття інформації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Згiдно "Положення про розкриття iнформацiї емiтентами цiнних паперiв, а також особами, якi надають забезпечення за такими цiнними паперами" Приватне акцiонерне товариство не зобов'язано розкривати таку регулярну рiчну iнформацiю: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 iнформацiю щодо посади</w:t>
      </w:r>
      <w:r>
        <w:rPr>
          <w:rFonts w:ascii="Times New Roman CYR" w:hAnsi="Times New Roman CYR" w:cs="Times New Roman CYR"/>
          <w:sz w:val="24"/>
          <w:szCs w:val="24"/>
        </w:rPr>
        <w:t xml:space="preserve"> корпоративного секретаря;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iнформацiя щодо володiння посадовими особами акцiями емiтента</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iнформацiю про одержанi лiцензiї на окремi види дiяльностi;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 iнформацiю про будь-якi винагороди або компенсацiї, якi мають бути виплаченi посадовим особам емiт</w:t>
      </w:r>
      <w:r>
        <w:rPr>
          <w:rFonts w:ascii="Times New Roman CYR" w:hAnsi="Times New Roman CYR" w:cs="Times New Roman CYR"/>
          <w:sz w:val="24"/>
          <w:szCs w:val="24"/>
        </w:rPr>
        <w:t>ента в разi їх звiльнення;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 iнформацiя про змiну акцiонерiв, яким належать голосуючi акцiї, розмiр пакета яких стає бiльшим, меншим або дорiвнює пороговому значенню пакета акцiй;</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6) iнформацiя про змiну осiб, яким належить право голосу за акцiями, сумарн</w:t>
      </w:r>
      <w:r>
        <w:rPr>
          <w:rFonts w:ascii="Times New Roman CYR" w:hAnsi="Times New Roman CYR" w:cs="Times New Roman CYR"/>
          <w:sz w:val="24"/>
          <w:szCs w:val="24"/>
        </w:rPr>
        <w:t>а кiлькiсть прав за якими стає бiльшою, меншою або дорiвнює пороговому значенню пакета акцiй;</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7) перелiк власникiв пакетiв 5 i бiльше вiдсоткiв акцiй iз зазначенням вiдсотка, кiлькостi, типу та/або класу належних їм акцiй;</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8) iнформацiю про вчинення значни</w:t>
      </w:r>
      <w:r>
        <w:rPr>
          <w:rFonts w:ascii="Times New Roman CYR" w:hAnsi="Times New Roman CYR" w:cs="Times New Roman CYR"/>
          <w:sz w:val="24"/>
          <w:szCs w:val="24"/>
        </w:rPr>
        <w:t>х правочинiв або правочинiв, щодо вчинення яких є заiнтересованiсть, або про попереднє надання згоди на вчинення значних правочинiв;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9) iнформацiя про вчинення правочинiв щодо яких є заiнтересованiсть, про осiб, заiнтересованих у вчиненнi емiтентом правочи</w:t>
      </w:r>
      <w:r>
        <w:rPr>
          <w:rFonts w:ascii="Times New Roman CYR" w:hAnsi="Times New Roman CYR" w:cs="Times New Roman CYR"/>
          <w:sz w:val="24"/>
          <w:szCs w:val="24"/>
        </w:rPr>
        <w:t>нiв iз заiнтересованiстю, та обставини, iснування яких створює заiнтересованiсть;</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10) звiт про платежi на користь держави вiдповiдно до Закону про бухгалтерський облiк;</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 звiт про сталий розвиток.</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Крiм того, Приватнi акцiонернi товариства мають право роз</w:t>
      </w:r>
      <w:r>
        <w:rPr>
          <w:rFonts w:ascii="Times New Roman CYR" w:hAnsi="Times New Roman CYR" w:cs="Times New Roman CYR"/>
          <w:sz w:val="24"/>
          <w:szCs w:val="24"/>
        </w:rPr>
        <w:t>кривати рiчну фiнансову звiтнiсть без перевiрки суб'єктом аудиторської дiяльностi. Тому в звiтi вiдсутнiй Аудиторський звiт до рiчної фiнасової звiтностi.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складi рiчного звiту емiтента вiдсутня iнформацiї в зв'яку з тим, що: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Iнформацiя щодо усiх випускiв цiнних паперiв, за якими надається забезпечення - Емiтент не має випускiв цiнних паперiв, за якими надаються забезпечення iншими особами.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Iнформацiю щодо всiх осiб, якi на дають забезпечення за зобов'язаннями емiтента - Ос</w:t>
      </w:r>
      <w:r>
        <w:rPr>
          <w:rFonts w:ascii="Times New Roman CYR" w:hAnsi="Times New Roman CYR" w:cs="Times New Roman CYR"/>
          <w:sz w:val="24"/>
          <w:szCs w:val="24"/>
        </w:rPr>
        <w:t>оби, якi надають забезпечення за випуском цiнних паперiв АТ "Ямпiльський приладобудiвний завод" вiдсутнi.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Iнформацiя про рейтингове агентсво вiдсутня в зв'яку з тим, що в статутному капiталi емiтента державна частка вiдсутня, пiдприємство не має стратегi</w:t>
      </w:r>
      <w:r>
        <w:rPr>
          <w:rFonts w:ascii="Times New Roman CYR" w:hAnsi="Times New Roman CYR" w:cs="Times New Roman CYR"/>
          <w:sz w:val="24"/>
          <w:szCs w:val="24"/>
        </w:rPr>
        <w:t>чного значення для економiки та безпеки держави на не займає монопольного (домiнуючого) становища.</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Судовi справи емiтента - в звiтному роцi емiтент не виступає стороною в судових справах</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Iнформацiя про штрафнi санкцiї щодо особи (зазначається за наявно</w:t>
      </w:r>
      <w:r>
        <w:rPr>
          <w:rFonts w:ascii="Times New Roman CYR" w:hAnsi="Times New Roman CYR" w:cs="Times New Roman CYR"/>
          <w:sz w:val="24"/>
          <w:szCs w:val="24"/>
        </w:rPr>
        <w:t>стi штрафної санкцiї в розмiрi, який перевищує 1000 грн) - у звiтному роцi Товариство не сплачувало штрафних санкцiй у розмiрi, що перевищує 1000 грн., у тому числi за порушення законодавства на ринку цiнних паперiв.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Iнформацiя щодо отриманих особою лiце</w:t>
      </w:r>
      <w:r>
        <w:rPr>
          <w:rFonts w:ascii="Times New Roman CYR" w:hAnsi="Times New Roman CYR" w:cs="Times New Roman CYR"/>
          <w:sz w:val="24"/>
          <w:szCs w:val="24"/>
        </w:rPr>
        <w:t>нзiй. Iнформацiя про одержанi лiцензiї не розкрита, оскiльки Товариство не здiйснює види дiяльностi, якi пiдлягають лiцензуванню.</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Таблицi "Iнформацiя про обсяги виробництва та реалiзацiї основних видiв продукцiї" та "Iнформацiя про собiвартiсть реалiзова</w:t>
      </w:r>
      <w:r>
        <w:rPr>
          <w:rFonts w:ascii="Times New Roman CYR" w:hAnsi="Times New Roman CYR" w:cs="Times New Roman CYR"/>
          <w:sz w:val="24"/>
          <w:szCs w:val="24"/>
        </w:rPr>
        <w:t xml:space="preserve">ної продукцiї" емiтент не заповнював, тому що не займається видами дiяльностi, що класифiкуються як переробна, добувна промисловiсть або виробництво та розподiлення електроенергiї, газу та води за класифiкатором видiв економiчної дiяльностi.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Участь в iн</w:t>
      </w:r>
      <w:r>
        <w:rPr>
          <w:rFonts w:ascii="Times New Roman CYR" w:hAnsi="Times New Roman CYR" w:cs="Times New Roman CYR"/>
          <w:sz w:val="24"/>
          <w:szCs w:val="24"/>
        </w:rPr>
        <w:t xml:space="preserve">ших юридичних особах - Емiтент в асоцiацiї, корпорацiї, консорцiуми, концерни та iншi об'єднання за галузевими, територiальними та iншими принципами не входить.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Iнформацiя про наявнiсть фiлiалiв або iнших вiдокремлених структурних пiдроздiлiв емiтента. </w:t>
      </w:r>
      <w:r>
        <w:rPr>
          <w:rFonts w:ascii="Times New Roman CYR" w:hAnsi="Times New Roman CYR" w:cs="Times New Roman CYR"/>
          <w:sz w:val="24"/>
          <w:szCs w:val="24"/>
        </w:rPr>
        <w:t>Фiлiалiв або iнших вiдокремлених структурних пiдроздiлiв емiтент не має.</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Змiна прав на акцiї - протягом звiтного року змiн прав на акцiї не було.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Iнформацiя про загальну кiлькiсть голосуючих акцiй та кiлькiсть голосуючих акцiй, права голосу за якими об</w:t>
      </w:r>
      <w:r>
        <w:rPr>
          <w:rFonts w:ascii="Times New Roman CYR" w:hAnsi="Times New Roman CYR" w:cs="Times New Roman CYR"/>
          <w:sz w:val="24"/>
          <w:szCs w:val="24"/>
        </w:rPr>
        <w:t>межено, а також кiлькiсть голосуючих акцiй, права голосу за якими за результатами обмеження таких прав передано iншiй особi. Не облiковуються такi акцiї.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Облiгацiї емiтентом не випускалися.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Iншi цiннi папери, випуск яких пiдлягає реєстрацiї, емiтентом </w:t>
      </w:r>
      <w:r>
        <w:rPr>
          <w:rFonts w:ascii="Times New Roman CYR" w:hAnsi="Times New Roman CYR" w:cs="Times New Roman CYR"/>
          <w:sz w:val="24"/>
          <w:szCs w:val="24"/>
        </w:rPr>
        <w:t>не випускалися.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 xml:space="preserve">- Деривативнi цiннi папери емiтент не випускав.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Борговi цiннi папери емiтент не випускав.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Емiтент цiльовi корпоративнi облiгацiї, виконання, за якими забезпечене об'єктами нерухомостi, не вiпускав.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Iнформацiя про придбання власних цi</w:t>
      </w:r>
      <w:r>
        <w:rPr>
          <w:rFonts w:ascii="Times New Roman CYR" w:hAnsi="Times New Roman CYR" w:cs="Times New Roman CYR"/>
          <w:sz w:val="24"/>
          <w:szCs w:val="24"/>
        </w:rPr>
        <w:t>нних паперiв. Власнi цiннi папери емiтентом не придбавалися протягом звiтного року.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Iнформацiї про наявнiсть у власностi працiвникiв емiтента цiнних паперiв (крiм акцiй) такого емiтента немає, тому що Емiтент iнших цiнних паперiв крiм акцiй не випускав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w:t>
      </w:r>
      <w:r>
        <w:rPr>
          <w:rFonts w:ascii="Times New Roman CYR" w:hAnsi="Times New Roman CYR" w:cs="Times New Roman CYR"/>
          <w:sz w:val="24"/>
          <w:szCs w:val="24"/>
        </w:rPr>
        <w:t xml:space="preserve"> Iнформацiя про будь-якi обмеження щодо обiгу цiнних паперiв емiтента, в тому числi необхiднiсть отримання вiд емiтента або iнших власникiв цiнних паперiв згоди на вiдчуження таких цiнних паперiв. Обмежень щодо обiгу цiнних паперiв емiтента немає. Статутом</w:t>
      </w:r>
      <w:r>
        <w:rPr>
          <w:rFonts w:ascii="Times New Roman CYR" w:hAnsi="Times New Roman CYR" w:cs="Times New Roman CYR"/>
          <w:sz w:val="24"/>
          <w:szCs w:val="24"/>
        </w:rPr>
        <w:t xml:space="preserve"> не передбачено переважне право на придбання акцiй товариства, що пропонується їх власникам для продажу третiй особi.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IV. Звiт керiвництва. У складi Звiту керiвництва емiтента вiдсутня iнформацiї, в зв'яку з тим, що: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1.1.1.1 Iнформацiя про кодекс корпорати</w:t>
      </w:r>
      <w:r>
        <w:rPr>
          <w:rFonts w:ascii="Times New Roman CYR" w:hAnsi="Times New Roman CYR" w:cs="Times New Roman CYR"/>
          <w:sz w:val="24"/>
          <w:szCs w:val="24"/>
        </w:rPr>
        <w:t>вного управлiння, яким керується особа. Власний кодекс корпоративного управлiння у емiтента вiдсутнiй. Емiтент не застосовує кодекси корпоративного управлiння фондової бiржi, об'єднання юридичних осiб або iнших кодексiв корпоративного управлiння. Емiтент н</w:t>
      </w:r>
      <w:r>
        <w:rPr>
          <w:rFonts w:ascii="Times New Roman CYR" w:hAnsi="Times New Roman CYR" w:cs="Times New Roman CYR"/>
          <w:sz w:val="24"/>
          <w:szCs w:val="24"/>
        </w:rPr>
        <w:t>е застосовує практику корпоративного управлiння понад визначенi законодавством вимоги. Емiтент має Положення про Загальнi збори, Положення про Наглядову раду, Положення про правлiння.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1.1.1.2 - 9. Iнформацiя про практику корпоративного управлiння особи, за</w:t>
      </w:r>
      <w:r>
        <w:rPr>
          <w:rFonts w:ascii="Times New Roman CYR" w:hAnsi="Times New Roman CYR" w:cs="Times New Roman CYR"/>
          <w:sz w:val="24"/>
          <w:szCs w:val="24"/>
        </w:rPr>
        <w:t>стосовувану понад визначенi законодавством вимоги. Iнформацiя про практику корпоративного управлiння, застосовану понад визначенi законодавством вимоги вiдсутня. Принципи корпоративного управлiння, що застосовуються товариством в своїй дiяльностi, визначен</w:t>
      </w:r>
      <w:r>
        <w:rPr>
          <w:rFonts w:ascii="Times New Roman CYR" w:hAnsi="Times New Roman CYR" w:cs="Times New Roman CYR"/>
          <w:sz w:val="24"/>
          <w:szCs w:val="24"/>
        </w:rPr>
        <w:t>i чинним законодавством України та статутом товариства. Будь-яка iнша практика корпоративного управлiння не застосовується.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1.1.3 Iнформацiя про збори власникiв облiгацiй та загальний опис прийнятих на таких зборах рiшень. Iнформацiя про збори власникiв об</w:t>
      </w:r>
      <w:r>
        <w:rPr>
          <w:rFonts w:ascii="Times New Roman CYR" w:hAnsi="Times New Roman CYR" w:cs="Times New Roman CYR"/>
          <w:sz w:val="24"/>
          <w:szCs w:val="24"/>
        </w:rPr>
        <w:t>лiгацiй вiдсутня, бо жодних цiнних паперiв, крiм акцiй, товариство не випускало.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1.1.4.3. Iнформацiя про проведення засiдання комiтетiв ради. Комiтети не створенi.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1.1.5.2. Iнформацiя про проведення засiдання колегiального виконавчого органу. Засiдання пра</w:t>
      </w:r>
      <w:r>
        <w:rPr>
          <w:rFonts w:ascii="Times New Roman CYR" w:hAnsi="Times New Roman CYR" w:cs="Times New Roman CYR"/>
          <w:sz w:val="24"/>
          <w:szCs w:val="24"/>
        </w:rPr>
        <w:t>влiння протягом звiтного року проводились спiльно з Наглядовою радою..</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1.1.7 У товариствi документ, який визначає полiтику системи внутрiшнього контролю (у тому числi щодо системи комплаєнс та внутрiшнього аудиту) та звiт щодо системи внутрiшнього контролю</w:t>
      </w:r>
      <w:r>
        <w:rPr>
          <w:rFonts w:ascii="Times New Roman CYR" w:hAnsi="Times New Roman CYR" w:cs="Times New Roman CYR"/>
          <w:sz w:val="24"/>
          <w:szCs w:val="24"/>
        </w:rPr>
        <w:t xml:space="preserve"> не затверджувався, рiшення про затвердження декларацiї схильностi до ризикiв не приймалось.</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1.1.10 Iнформацiя щодо порядку призначення/звiльнення посадових осiб (крiм ради та виконавчого </w:t>
      </w:r>
      <w:r>
        <w:rPr>
          <w:rFonts w:ascii="Times New Roman CYR" w:hAnsi="Times New Roman CYR" w:cs="Times New Roman CYR"/>
          <w:sz w:val="24"/>
          <w:szCs w:val="24"/>
        </w:rPr>
        <w:t>органу) особи. У звiтному роцi фактiв призначення/звiльнення посадових осiб не було.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1.1.11 Члени виконавчого органу та ради особи, крiм заробiтної плати, яка встановлена штатним розкладом, iнших винагород та доходiв, в тому числi в натуральнiй формi, не </w:t>
      </w:r>
      <w:r>
        <w:rPr>
          <w:rFonts w:ascii="Times New Roman CYR" w:hAnsi="Times New Roman CYR" w:cs="Times New Roman CYR"/>
          <w:sz w:val="24"/>
          <w:szCs w:val="24"/>
        </w:rPr>
        <w:t>отримували.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1.1.12 Iнформацiя про полiтику розкриття iнформацiї особою. Внутрiшнього документа, який визначає полiтику щодо розкриття iнформацiї особою у товариствi не було затверджено.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1.1.13 Iнформацiя про радника. Iнформацiя про радника вiдсутня, оскiл</w:t>
      </w:r>
      <w:r>
        <w:rPr>
          <w:rFonts w:ascii="Times New Roman CYR" w:hAnsi="Times New Roman CYR" w:cs="Times New Roman CYR"/>
          <w:sz w:val="24"/>
          <w:szCs w:val="24"/>
        </w:rPr>
        <w:t>ьки посади радника у товариствi немає.</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1.3.3-12. Iнформацiя щодо наявностi у емiтента вiдносин з iноземними державами зони ризику. В структурi власностi Емiтента немає юридичних осiб, мiсцем реєстрацiї яких є iноземнi держави зони ризику. В органах управлi</w:t>
      </w:r>
      <w:r>
        <w:rPr>
          <w:rFonts w:ascii="Times New Roman CYR" w:hAnsi="Times New Roman CYR" w:cs="Times New Roman CYR"/>
          <w:sz w:val="24"/>
          <w:szCs w:val="24"/>
        </w:rPr>
        <w:t>ння емiтента немає фiзичних осiб, якi мають громадянство iноземної держави зони ризику. У емiтента немає дiлових вiдносин з клiєнтами держави зони ризику.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2.1 Iнформацiя про корпоративнi/акцiонернi) договори, укладенi акцiонерами (учасниками) особи, яка на</w:t>
      </w:r>
      <w:r>
        <w:rPr>
          <w:rFonts w:ascii="Times New Roman CYR" w:hAnsi="Times New Roman CYR" w:cs="Times New Roman CYR"/>
          <w:sz w:val="24"/>
          <w:szCs w:val="24"/>
        </w:rPr>
        <w:t>явна в особи. У емiтента не має в наявностi iнформацiї про корпоративнi договори укладенi акцiонерами емiтента.</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2.2 Iнформацiя про будь-якi договори та/або правочини, умовою чинностi яких є незмiннiсть осiб, якi здiйснюють контроль над емiтентом. Договори </w:t>
      </w:r>
      <w:r>
        <w:rPr>
          <w:rFonts w:ascii="Times New Roman CYR" w:hAnsi="Times New Roman CYR" w:cs="Times New Roman CYR"/>
          <w:sz w:val="24"/>
          <w:szCs w:val="24"/>
        </w:rPr>
        <w:t xml:space="preserve">та/або правочини, умовою чинностi яких є незмiннiсть осiб, якi здiйснюють контроль над емiтентом не укладалися.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3. Дивiдендна полiтика. Внутрiшнього документу, який визначає дивiдендну полiтику, товариство не </w:t>
      </w:r>
      <w:r>
        <w:rPr>
          <w:rFonts w:ascii="Times New Roman CYR" w:hAnsi="Times New Roman CYR" w:cs="Times New Roman CYR"/>
          <w:sz w:val="24"/>
          <w:szCs w:val="24"/>
        </w:rPr>
        <w:lastRenderedPageBreak/>
        <w:t xml:space="preserve">затверджувало.              </w:t>
      </w:r>
      <w:r>
        <w:rPr>
          <w:rFonts w:ascii="Times New Roman CYR" w:hAnsi="Times New Roman CYR" w:cs="Times New Roman CYR"/>
          <w:sz w:val="24"/>
          <w:szCs w:val="24"/>
        </w:rPr>
        <w:t xml:space="preserve">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 Iнформацiя про виплату дивiдендiв та iнших доходiв за цiнними паперами у звiтному перiодi. У звiтному перiодi дивiденди та iншi доходи за цiнними паперами не виплачувалися.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 Перелiк посилань на внутрiшнi документи особи, що розмiщенi на веб</w:t>
      </w:r>
      <w:r>
        <w:rPr>
          <w:rFonts w:ascii="Times New Roman CYR" w:hAnsi="Times New Roman CYR" w:cs="Times New Roman CYR"/>
          <w:sz w:val="24"/>
          <w:szCs w:val="24"/>
        </w:rPr>
        <w:t>сайтi особи. Перелiк посилань на внутрiшнi документи товариства вiдсутнiй, оскiльки приватнi акцiонернi товариства не зобов'язанi розмiщувати таку iнформацiю на власному веб сайтi.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III.1. З урахуванням вимог пункту 25 Положення, iнформацiя про розмiр доход</w:t>
      </w:r>
      <w:r>
        <w:rPr>
          <w:rFonts w:ascii="Times New Roman CYR" w:hAnsi="Times New Roman CYR" w:cs="Times New Roman CYR"/>
          <w:sz w:val="24"/>
          <w:szCs w:val="24"/>
        </w:rPr>
        <w:t>у за видами дiяльностi особи розкривається у випадку проведення приватними акцiонерними товариствами аудиту фiнансової звiтностi. Аудит не проводився.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V.1.2-8. Iнформацiя про випуски iпотечних облiгацiй. Товариство не випускало iпотечнi облiгацiї.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V.2.1-6 </w:t>
      </w:r>
      <w:r>
        <w:rPr>
          <w:rFonts w:ascii="Times New Roman CYR" w:hAnsi="Times New Roman CYR" w:cs="Times New Roman CYR"/>
          <w:sz w:val="24"/>
          <w:szCs w:val="24"/>
        </w:rPr>
        <w:t>Основнi вiдомостi про ФОН. Товариство не випускало сертифiкати ФОН.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VII. Промiжна фiнансова звiтнiсть поручителя (страховика/гаранта) вiдсутня, бо емiтент не проводив забезпечення випуску боргових цiнних паперiв.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Зміст</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до річного звіту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I. Загальна інформа</w:t>
      </w:r>
      <w:r>
        <w:rPr>
          <w:rFonts w:ascii="Times New Roman CYR" w:hAnsi="Times New Roman CYR" w:cs="Times New Roman CYR"/>
          <w:sz w:val="24"/>
          <w:szCs w:val="24"/>
        </w:rPr>
        <w:t>ція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Ідентифікаційні дані та загальна інформація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Органи управління та посадові особи. Організаційна структура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Структура власності</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Опис господарської та фінансової діяльності</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II. Інформація щодо капіталу та цінних паперів</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Структура капіталу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Цінні папери</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III. Фінансова інформація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Річна фінансова звітність</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 Твердження щодо річної інформації</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IV. Нефінансова інформація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Звіт керівництва (звіт про управління)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 звіт про корпоративне управління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3) інформація щодо наявності у емітента від</w:t>
      </w:r>
      <w:r>
        <w:rPr>
          <w:rFonts w:ascii="Times New Roman CYR" w:hAnsi="Times New Roman CYR" w:cs="Times New Roman CYR"/>
          <w:sz w:val="24"/>
          <w:szCs w:val="24"/>
        </w:rPr>
        <w:t>носин з іноземними державами зони ризику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 Корпоративні та інші договори</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VI. Список посилань на регульовану інформацію, яка була розкрита протягом звітного року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sectPr w:rsidR="00000000">
          <w:pgSz w:w="12240" w:h="15840"/>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lastRenderedPageBreak/>
        <w:t>I. Загальна інформація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i/>
          <w:iCs/>
          <w:sz w:val="24"/>
          <w:szCs w:val="24"/>
        </w:rPr>
        <w:t>1. Ідентифікаційні дані та загальна інформація</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00"/>
        <w:gridCol w:w="3500"/>
        <w:gridCol w:w="6465"/>
      </w:tblGrid>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Пов</w:t>
            </w:r>
            <w:r>
              <w:rPr>
                <w:rFonts w:ascii="Times New Roman CYR" w:hAnsi="Times New Roman CYR" w:cs="Times New Roman CYR"/>
                <w:sz w:val="24"/>
                <w:szCs w:val="24"/>
              </w:rPr>
              <w:t>не найменування</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АКЦIОНЕРНЕ ТОВАРИСТВО "ЯМПIЛЬСЬКИЙ ПРИЛАДОБУДIВНИЙ ЗАВОД"</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2</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Скорочене найменування</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АТ "Ямпiльський приладобудiвний завод"</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3</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Ідентифікаційний код юридичної особи</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14309729</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4</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Дата державної реєстрації</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09.06.1997</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5</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Місцезнаходження</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24500, Вінницька обл., Могилiв-Подiльський р-н, м.Ямпiль, вул.ЗАМОСТЯНСЬКА, будинок 83А</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6</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Адреса для листування</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7</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Особа, яка розкриває інформацію</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V</w:t>
            </w:r>
            <w:r>
              <w:rPr>
                <w:rFonts w:ascii="Times New Roman CYR" w:hAnsi="Times New Roman CYR" w:cs="Times New Roman CYR"/>
                <w:sz w:val="24"/>
                <w:szCs w:val="24"/>
              </w:rPr>
              <w:tab/>
              <w:t>Емітент</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Особа, яка надає забезпечення</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8</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Особа має статус підприємства, що становить суспільний інтерес</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Так</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V</w:t>
            </w:r>
            <w:r>
              <w:rPr>
                <w:rFonts w:ascii="Times New Roman CYR" w:hAnsi="Times New Roman CYR" w:cs="Times New Roman CYR"/>
                <w:sz w:val="24"/>
                <w:szCs w:val="24"/>
              </w:rPr>
              <w:tab/>
              <w:t>Ні</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9</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Категорія підприємства</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Велике</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Середнє</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V</w:t>
            </w:r>
            <w:r>
              <w:rPr>
                <w:rFonts w:ascii="Times New Roman CYR" w:hAnsi="Times New Roman CYR" w:cs="Times New Roman CYR"/>
                <w:sz w:val="24"/>
                <w:szCs w:val="24"/>
              </w:rPr>
              <w:tab/>
              <w:t>Мале</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Мікро</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10</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Адреса електронної пошти для офіційного каналу зв'язку</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yapz@ukr.net</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11</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Адреса вебсайту</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www.jampprilad.pat.ua</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12</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Номер телефону</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(04336) 2-11-04, (04336) 2-19-40</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13</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Статутний капітал, грн</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52750,25</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14</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Відсоток акцій (часток/паїв) у статутному капіталі, що належить державі</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0</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15</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Відсоток акцій (часток, паїв) статутного капіталу, що передано до статутного капіталу державного (національного) акціонерного товариства та/або холдингової компанії</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0</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16</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Середня кількість працівників за звітний період</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101</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17</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Витрати на оплату праці, тис. грн (для розрахунку фіктивності для суб'єктів малого підприємництва)</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18</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Основні види діяльності із зазначенням їх найменування та коду за КВЕД</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26.51 - Виробництво iнструментiв i обладнання для вимiрювання, дослiдження та нав</w:t>
            </w:r>
            <w:r>
              <w:rPr>
                <w:rFonts w:ascii="Times New Roman CYR" w:hAnsi="Times New Roman CYR" w:cs="Times New Roman CYR"/>
                <w:sz w:val="24"/>
                <w:szCs w:val="24"/>
              </w:rPr>
              <w:t>iгацiї</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27.51 - Виробництво електричних побутових приладiв</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46.43 - Оптова торгiвля електропобутовими електротоварами й електронною апаратурою побутового призначення для приймання, записування</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19</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Структура управління особи</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Однорівнева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V</w:t>
            </w:r>
            <w:r>
              <w:rPr>
                <w:rFonts w:ascii="Times New Roman CYR" w:hAnsi="Times New Roman CYR" w:cs="Times New Roman CYR"/>
                <w:sz w:val="24"/>
                <w:szCs w:val="24"/>
              </w:rPr>
              <w:tab/>
              <w:t>Дворівнева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Інше</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lastRenderedPageBreak/>
        <w:t>Банки, що обслуговують особу:</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00"/>
        <w:gridCol w:w="3500"/>
        <w:gridCol w:w="6465"/>
      </w:tblGrid>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w:t>
            </w: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Повне найменування (в т.ч. філії, відділення банку)</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ПуАТ "КБ "АКОРДБАНК", м. Київ, МФО 380634</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Ідентифікаційний код юридичної особи</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14309729</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IBAN</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UA283806340000026007255703001</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p>
        </w:tc>
        <w:tc>
          <w:tcPr>
            <w:tcW w:w="3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Валюта рахунку</w:t>
            </w:r>
          </w:p>
        </w:tc>
        <w:tc>
          <w:tcPr>
            <w:tcW w:w="646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UAH</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i/>
          <w:iCs/>
          <w:sz w:val="24"/>
          <w:szCs w:val="24"/>
        </w:rPr>
        <w:t>2. Органи управління та посадові особи. Організаційна структура</w:t>
      </w: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Органи управління</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50"/>
        <w:gridCol w:w="1450"/>
        <w:gridCol w:w="4000"/>
        <w:gridCol w:w="4000"/>
      </w:tblGrid>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з/п</w:t>
            </w:r>
          </w:p>
        </w:tc>
        <w:tc>
          <w:tcPr>
            <w:tcW w:w="1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Назва органу управління (контролю)</w:t>
            </w:r>
          </w:p>
        </w:tc>
        <w:tc>
          <w:tcPr>
            <w:tcW w:w="4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Кількісний склад органу управління (контролю)</w:t>
            </w:r>
          </w:p>
        </w:tc>
        <w:tc>
          <w:tcPr>
            <w:tcW w:w="4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Персональний склад органу управління (контролю)</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1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4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4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14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Загальнi збори</w:t>
            </w:r>
          </w:p>
        </w:tc>
        <w:tc>
          <w:tcPr>
            <w:tcW w:w="4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Акцiонери товариства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Особи, якi включенi до перелiку акцiонерiв та мають право на участь у загальних зборах.</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4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Наглядова рада</w:t>
            </w:r>
          </w:p>
        </w:tc>
        <w:tc>
          <w:tcPr>
            <w:tcW w:w="4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Голова та 4 члени наглядової ради. Комiтети не створенi.</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Голова Наглядової ради  Патлатюк Петро Миколайович. Члени  Наглядової ради: Грiшкiна Надiя Єгорiвна, Мiрчев Петро Степанович, Чефранов Iгор Євгенович, Кошельова Тетяна Олександрiвна</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4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Виконавчий орган</w:t>
            </w:r>
          </w:p>
        </w:tc>
        <w:tc>
          <w:tcPr>
            <w:tcW w:w="4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Голова та 6 членiв правiлння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Голова правлiння - Кожух</w:t>
            </w:r>
            <w:r>
              <w:rPr>
                <w:rFonts w:ascii="Times New Roman CYR" w:hAnsi="Times New Roman CYR" w:cs="Times New Roman CYR"/>
              </w:rPr>
              <w:t xml:space="preserve">ар Валерiй Олександрович. Члени правлiння: Мадюдя Михайло Михайлович, заступник голови правлiння по виробництву Брушньовський Вадим Михайлович, головний бухгалтер Гервазюк Денис Анатолiйович, Слободянюк Тамара Петрiвна, Калiон Сергiй Вiкторович, заступник </w:t>
            </w:r>
            <w:r>
              <w:rPr>
                <w:rFonts w:ascii="Times New Roman CYR" w:hAnsi="Times New Roman CYR" w:cs="Times New Roman CYR"/>
              </w:rPr>
              <w:t>голови правлiння з маркетингу Лубковський Валерiй Володимирович.</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rPr>
        <w:sectPr w:rsidR="00000000">
          <w:pgSz w:w="12240" w:h="15840"/>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lastRenderedPageBreak/>
        <w:t>Інформація щодо посадових осіб</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Рада</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50"/>
        <w:gridCol w:w="2050"/>
        <w:gridCol w:w="2100"/>
        <w:gridCol w:w="1100"/>
        <w:gridCol w:w="800"/>
        <w:gridCol w:w="1000"/>
        <w:gridCol w:w="1000"/>
        <w:gridCol w:w="900"/>
        <w:gridCol w:w="3100"/>
        <w:gridCol w:w="1400"/>
        <w:gridCol w:w="1400"/>
      </w:tblGrid>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 з/п</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Посада</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Ім'я</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РНОКПП</w:t>
            </w: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УНЗР</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Рік народження</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Освіта</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Стаж роботи (років)</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Повне найменування, ідентифікаційний код юридичної особи та посада(и), яку(і) займав(є) за останні 5 років</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Дата набуття повноважень та строк, на який обрано</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Непогашена судимість за корисливі та посадові злочини (Так/Ні)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w:t>
            </w: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5</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6</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7</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8</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9</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10</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11</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Голова Наглядової ради, акцiонер</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Патлатюк Петро Миколайович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1964</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Вiнницький полiтехнiчний iнститут, машинобудування</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37</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Останнi роки обiймав посаду начальника технiчного вiддiлу. З 25.04.2024 р. пенсiонер.</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w:t>
            </w:r>
            <w:r>
              <w:rPr>
                <w:rFonts w:ascii="Times New Roman CYR" w:hAnsi="Times New Roman CYR" w:cs="Times New Roman CYR"/>
                <w:sz w:val="20"/>
                <w:szCs w:val="20"/>
              </w:rPr>
              <w:t>5.04.2024</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3 роки</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Наглядової ради, акцiонер</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Чефранов Iгор Євгенович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1955</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вища, Харкiвський авiацiйний iнститут</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45</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З лютого 1998 року головний метролог, з 27.07.2020 р. по 08.04.2022 р. заступник головного метролога. З 08.04.2022 р. пенсiонер.</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25.04.2024</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3 роки</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Наглядової ради, акцiонер</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Грiшкiна Надiя Єгорiвна</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1957</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Вiнницький полiтехнiчний iнститут, машинобудування</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40</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З листопада 2007 р. начальник лабораторiї, з 28.09.2020 р. по 06.06.2022 р. контролер верстатних i слюсарних робiт. З 06.06.2022  р. пенсiонерка.</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25.04.2024</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3 роки</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Наглядової ради, акцiонер</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Мiрчев Петро Степанович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1950</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Одеський верстатобудiвельний технiкум, iнженерно-економiчний</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47</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З сiчня 1998 р. начальник складального цеху, з 14.07.2020 по теперiшнiй час - токар розточувальник</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25.04.2024</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3 роки</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5</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 xml:space="preserve">Член Наглядової </w:t>
            </w:r>
            <w:r>
              <w:rPr>
                <w:rFonts w:ascii="Times New Roman CYR" w:hAnsi="Times New Roman CYR" w:cs="Times New Roman CYR"/>
                <w:sz w:val="20"/>
                <w:szCs w:val="20"/>
              </w:rPr>
              <w:lastRenderedPageBreak/>
              <w:t>ради, акцiонер</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lastRenderedPageBreak/>
              <w:t xml:space="preserve">Кошельова Тетяна </w:t>
            </w:r>
            <w:r>
              <w:rPr>
                <w:rFonts w:ascii="Times New Roman CYR" w:hAnsi="Times New Roman CYR" w:cs="Times New Roman CYR"/>
                <w:sz w:val="20"/>
                <w:szCs w:val="20"/>
              </w:rPr>
              <w:lastRenderedPageBreak/>
              <w:t>Олександрiвна</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1983</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Вiнниць</w:t>
            </w:r>
            <w:r>
              <w:rPr>
                <w:rFonts w:ascii="Times New Roman CYR" w:hAnsi="Times New Roman CYR" w:cs="Times New Roman CYR"/>
                <w:sz w:val="20"/>
                <w:szCs w:val="20"/>
              </w:rPr>
              <w:lastRenderedPageBreak/>
              <w:t>кий проф.лiцей сфери послуг в 2004 р.</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lastRenderedPageBreak/>
              <w:t>14</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 xml:space="preserve">АТ "Ямпiльський </w:t>
            </w:r>
            <w:r>
              <w:rPr>
                <w:rFonts w:ascii="Times New Roman CYR" w:hAnsi="Times New Roman CYR" w:cs="Times New Roman CYR"/>
                <w:sz w:val="20"/>
                <w:szCs w:val="20"/>
              </w:rPr>
              <w:lastRenderedPageBreak/>
              <w:t>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Останнi роки обiймала посаду слюсаря з механоскладальних робiт, майстра контрольного, з березня 2022 року непрацююча.</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lastRenderedPageBreak/>
              <w:t>25.04.2024</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lastRenderedPageBreak/>
              <w:t>на 3 роки</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lastRenderedPageBreak/>
              <w:t>Ні</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lastRenderedPageBreak/>
        <w:t>Виконавчий орган</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50"/>
        <w:gridCol w:w="2050"/>
        <w:gridCol w:w="2100"/>
        <w:gridCol w:w="1100"/>
        <w:gridCol w:w="800"/>
        <w:gridCol w:w="1000"/>
        <w:gridCol w:w="1000"/>
        <w:gridCol w:w="900"/>
        <w:gridCol w:w="3100"/>
        <w:gridCol w:w="1400"/>
        <w:gridCol w:w="1400"/>
      </w:tblGrid>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 з/п</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Посада</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Ім'я</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РНОКПП</w:t>
            </w: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УНЗР</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Рік народження</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Освіта</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Стаж роботи (років)</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Повне найменування, ідентифікаційний код юридичної особи та посада(и), яку(і) займав(є) за останні 5 років</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Дата набуття повноважень та строк, на який обрано</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Непогашена судимість за корисливі та посадові злочини (Так/Ні)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w:t>
            </w: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5</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6</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7</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8</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9</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10</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11</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Голова правлiння</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Кожухар Валерiй Олександрович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1949</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Одеський полiтехнiчний iнститут, машинобудування</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56</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З листопада 1991 р. по теперiшнiй час - голова правлiння</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06.12.2022</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5 рокiв</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Мадюдя Михайло Михайлович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1958</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Вiнницький полiтехнiчний iнститут, машинобудування</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39</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З квiтня 2000 р. заступник голови правлiння з виробництва, з 12.08.2020 року по 05.09.2022р. iнженер-технолог. З 05.09.2022 р. пенсiонер.</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06.12.2022</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5 рокiв</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 заступник голови правлiння по виробництву</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Брушньовський Вадим Михайлович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1967</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Технiчний унiверситет Молдови</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33</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З 2014 р. по 2020 р. обiймав посаду голового iнженера, з 2020 р. по теперiшнiй час заступник голови правлiння по виробництву.</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06.12.2022</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5 рокiв</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 головний бухгалтер</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Гервазюк Денис Анатолiйович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1984</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Вiнницький фiнансово-економiчний унiверситет</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12</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 xml:space="preserve">з 19.08.2020 по 13.02.2024 р.- начальник вiддiлу органiзацiї працi та заробiтної плати, з </w:t>
            </w:r>
            <w:r>
              <w:rPr>
                <w:rFonts w:ascii="Times New Roman CYR" w:hAnsi="Times New Roman CYR" w:cs="Times New Roman CYR"/>
                <w:sz w:val="20"/>
                <w:szCs w:val="20"/>
              </w:rPr>
              <w:t>14.02.2024 р. головний бухгалтер</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06.12.2022</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5 рокiв</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lastRenderedPageBreak/>
              <w:t>5</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Слободянюк Тамара Петрiвна</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1952</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Харкiвський облiково-економiчни iнститут, бухоблiк</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47</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З березня 1996 р. по 13.02.2024 р. головний бухгалтер. З 14.02.2024 р. до 09.04.2024 р. заступник головного бухгалтера, з 10.04.2024 р. пенсiонерка.</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06.12.2022</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5 рокiв</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6</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Калiон Сергiй Вiкторович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1976</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Вiнницький полiтихнiчний iнститу</w:t>
            </w:r>
            <w:r>
              <w:rPr>
                <w:rFonts w:ascii="Times New Roman CYR" w:hAnsi="Times New Roman CYR" w:cs="Times New Roman CYR"/>
                <w:sz w:val="20"/>
                <w:szCs w:val="20"/>
              </w:rPr>
              <w:t>т, машинобудування</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15</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 xml:space="preserve">З 19.08.2020 по цей час - головний iнженер </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06.12.2022</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5 рокiв</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7</w:t>
            </w:r>
          </w:p>
        </w:tc>
        <w:tc>
          <w:tcPr>
            <w:tcW w:w="20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 заступник голови правлiння по маркетингу</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Лубковський Валерiй Володимирович</w:t>
            </w:r>
          </w:p>
        </w:tc>
        <w:tc>
          <w:tcPr>
            <w:tcW w:w="1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8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1967</w:t>
            </w:r>
          </w:p>
        </w:tc>
        <w:tc>
          <w:tcPr>
            <w:tcW w:w="1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Одеський iнститут народного господарства</w:t>
            </w:r>
          </w:p>
        </w:tc>
        <w:tc>
          <w:tcPr>
            <w:tcW w:w="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38</w:t>
            </w:r>
          </w:p>
        </w:tc>
        <w:tc>
          <w:tcPr>
            <w:tcW w:w="3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АТ "Ямпiльський приладобудiвний завод"</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14309729</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З червня 2002 р. по теперiшнiй час заст. голови правлiння по маркетингу.</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06.12.2022</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на 5 рокiв</w:t>
            </w:r>
          </w:p>
        </w:tc>
        <w:tc>
          <w:tcPr>
            <w:tcW w:w="14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Ні</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0"/>
          <w:szCs w:val="20"/>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Інформація щодо володіння посадовими особами акціями особи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50"/>
        <w:gridCol w:w="2450"/>
        <w:gridCol w:w="2500"/>
        <w:gridCol w:w="1625"/>
        <w:gridCol w:w="1625"/>
        <w:gridCol w:w="1625"/>
        <w:gridCol w:w="1625"/>
        <w:gridCol w:w="1700"/>
        <w:gridCol w:w="1700"/>
      </w:tblGrid>
      <w:tr w:rsidR="00000000">
        <w:tblPrEx>
          <w:tblCellMar>
            <w:top w:w="0" w:type="dxa"/>
            <w:bottom w:w="0" w:type="dxa"/>
          </w:tblCellMar>
        </w:tblPrEx>
        <w:trPr>
          <w:trHeight w:val="300"/>
        </w:trPr>
        <w:tc>
          <w:tcPr>
            <w:tcW w:w="550" w:type="dxa"/>
            <w:vMerge w:val="restart"/>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 з/п</w:t>
            </w:r>
          </w:p>
        </w:tc>
        <w:tc>
          <w:tcPr>
            <w:tcW w:w="245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Посада</w:t>
            </w:r>
          </w:p>
        </w:tc>
        <w:tc>
          <w:tcPr>
            <w:tcW w:w="250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Ім'я</w:t>
            </w:r>
          </w:p>
        </w:tc>
        <w:tc>
          <w:tcPr>
            <w:tcW w:w="1625"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РНОКПП</w:t>
            </w:r>
          </w:p>
        </w:tc>
        <w:tc>
          <w:tcPr>
            <w:tcW w:w="1625"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УНЗР</w:t>
            </w:r>
          </w:p>
        </w:tc>
        <w:tc>
          <w:tcPr>
            <w:tcW w:w="1625"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Кількість акцій, шт.</w:t>
            </w:r>
          </w:p>
        </w:tc>
        <w:tc>
          <w:tcPr>
            <w:tcW w:w="1625"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Від загальної кількості акцій (у відсотках)</w:t>
            </w:r>
          </w:p>
        </w:tc>
        <w:tc>
          <w:tcPr>
            <w:tcW w:w="3400"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Кількість за типами акцій</w:t>
            </w:r>
          </w:p>
        </w:tc>
      </w:tr>
      <w:tr w:rsidR="00000000">
        <w:tblPrEx>
          <w:tblCellMar>
            <w:top w:w="0" w:type="dxa"/>
            <w:bottom w:w="0" w:type="dxa"/>
          </w:tblCellMar>
        </w:tblPrEx>
        <w:trPr>
          <w:trHeight w:val="300"/>
        </w:trPr>
        <w:tc>
          <w:tcPr>
            <w:tcW w:w="550" w:type="dxa"/>
            <w:vMerge/>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245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250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прості іменні</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привілейовані іменні</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5</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6</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7</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8</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9</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Голова правлiння</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Кожухар Валерiй Олександрович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3 877</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1,837</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3 877</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2</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Мадюдя Михайло Михайлович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13</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0,006161</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13</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Брушньовський Вадим Михайлович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4</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 головний бухгалтер</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Гервазюк Денис Анатолiйович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5</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Слободянюк Тамара Петрiвна</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13</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0,006161</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13</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6</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Калiон Сергiй Вiкторович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7</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правлiння</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Лубковський Валерiй Володимирович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8</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Голова Наглядової ради, акцiонер</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Патлатюк Петро Миколайович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0,0014</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lastRenderedPageBreak/>
              <w:t>9</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Наглядової ради, акцiонер</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Чефранов Iгор Євгенович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15</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0,007108</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15</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10</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Наглядової ради, акцiонер</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Грiшкiна Надiя Єгорiвна</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36</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0,017062</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36</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11</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Наглядової ради, акцiонер</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Мiрчев Петро Степанович</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0,000474</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r w:rsidR="00000000">
        <w:tblPrEx>
          <w:tblCellMar>
            <w:top w:w="0" w:type="dxa"/>
            <w:bottom w:w="0" w:type="dxa"/>
          </w:tblCellMar>
        </w:tblPrEx>
        <w:trPr>
          <w:trHeight w:val="3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12</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Член Наглядової ради, акцiонер</w:t>
            </w:r>
          </w:p>
        </w:tc>
        <w:tc>
          <w:tcPr>
            <w:tcW w:w="2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Кошельова Тетяна Олександрiвна</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18</w:t>
            </w:r>
          </w:p>
        </w:tc>
        <w:tc>
          <w:tcPr>
            <w:tcW w:w="162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0,00853</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18</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0"/>
                <w:szCs w:val="20"/>
              </w:rPr>
            </w:pPr>
            <w:r>
              <w:rPr>
                <w:rFonts w:ascii="Times New Roman CYR" w:hAnsi="Times New Roman CYR" w:cs="Times New Roman CYR"/>
                <w:sz w:val="20"/>
                <w:szCs w:val="20"/>
              </w:rPr>
              <w:t>0</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0"/>
          <w:szCs w:val="20"/>
        </w:rPr>
      </w:pPr>
    </w:p>
    <w:p w:rsidR="00000000" w:rsidRDefault="00DA6563">
      <w:pPr>
        <w:widowControl w:val="0"/>
        <w:autoSpaceDE w:val="0"/>
        <w:autoSpaceDN w:val="0"/>
        <w:adjustRightInd w:val="0"/>
        <w:spacing w:after="0" w:line="240" w:lineRule="auto"/>
        <w:rPr>
          <w:rFonts w:ascii="Times New Roman CYR" w:hAnsi="Times New Roman CYR" w:cs="Times New Roman CYR"/>
          <w:sz w:val="20"/>
          <w:szCs w:val="20"/>
        </w:rPr>
        <w:sectPr w:rsidR="00000000">
          <w:pgSz w:w="16837" w:h="11905" w:orient="landscape"/>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lastRenderedPageBreak/>
        <w:t>Організаційна структура</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 веб-сайтi особи не розмiщено органiзацiйну структуру особи у виглядi схематичного зображення, тому URL-адреса вебсайту не зазначена.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i/>
          <w:iCs/>
          <w:sz w:val="24"/>
          <w:szCs w:val="24"/>
        </w:rPr>
        <w:t>3. Структура власності</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https://jampprilad.pat.ua/documents/insha-informa</w:t>
      </w:r>
      <w:r>
        <w:rPr>
          <w:rFonts w:ascii="Times New Roman CYR" w:hAnsi="Times New Roman CYR" w:cs="Times New Roman CYR"/>
          <w:sz w:val="24"/>
          <w:szCs w:val="24"/>
        </w:rPr>
        <w:t>ciya?doc=105480</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i/>
          <w:iCs/>
          <w:sz w:val="24"/>
          <w:szCs w:val="24"/>
        </w:rPr>
        <w:t>4. Опис господарської та фінансової діяльності</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1. Належнiсть особи до будь-яких об'єднань пiдприємств, повне найменування та мiсцезнаходження об'єднання, опис дiяльностi об'єднання, строк участi особи у вiдповiдному об'єднаннi, роль особи </w:t>
      </w:r>
      <w:r>
        <w:rPr>
          <w:rFonts w:ascii="Times New Roman CYR" w:hAnsi="Times New Roman CYR" w:cs="Times New Roman CYR"/>
          <w:sz w:val="24"/>
          <w:szCs w:val="24"/>
        </w:rPr>
        <w:t>в об'єднаннi, посилання на вебсайт об'єднання.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АТ "Ямпiльський приладобудiвний завод" не належить до будь-яких об'єднань пiдприємств.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Спiльна дiяльнiсть, яку особа проводить з iншими органiзацiями, пiдприємствами, установами, при цьому зазначаються сума вкладiв, мета вкладiв (отримання прибутку, iншi цiлi) та отриманий фiнансовий результат за звiтний рiк з кожного виду спiльної дiяльн</w:t>
      </w:r>
      <w:r>
        <w:rPr>
          <w:rFonts w:ascii="Times New Roman CYR" w:hAnsi="Times New Roman CYR" w:cs="Times New Roman CYR"/>
          <w:sz w:val="24"/>
          <w:szCs w:val="24"/>
        </w:rPr>
        <w:t>остi.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АТ "Ямпiльський приладобудiвний завод" не проводить спiльної дiяльностi з iншими органiзацiями, пiдприємствами, установами.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Опис обраної облiкової полiтики (метод нарахування амортизацiї, метод оцiнки вартостi запасiв, метод облiку та оцiнки вар</w:t>
      </w:r>
      <w:r>
        <w:rPr>
          <w:rFonts w:ascii="Times New Roman CYR" w:hAnsi="Times New Roman CYR" w:cs="Times New Roman CYR"/>
          <w:sz w:val="24"/>
          <w:szCs w:val="24"/>
        </w:rPr>
        <w:t>тостi фiнансових iнвестицiй тощо).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Амортизацiя основних засобiв розраховується прямолiнiйним методом вiдповiдно до строкiв корисної служби, погодженим з технiчним персоналом Пiдприємства наступним чином:</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Будiвлi та споруди 20-50 рокiв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Машини та устаткув</w:t>
      </w:r>
      <w:r>
        <w:rPr>
          <w:rFonts w:ascii="Times New Roman CYR" w:hAnsi="Times New Roman CYR" w:cs="Times New Roman CYR"/>
          <w:sz w:val="24"/>
          <w:szCs w:val="24"/>
        </w:rPr>
        <w:t>ання 3-20 рокiв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Комп'ютерне обладнання 1-8 рокiв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Транспортнi засоби 5-7 рокiв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Iнструмент, прилади та iнвентар 5-20 рокiв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Незавершене будiвництво Не амортизується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Лiквiдацiйна вартiсть, строк корисного використання i метод нарахування амортизацiї перег</w:t>
      </w:r>
      <w:r>
        <w:rPr>
          <w:rFonts w:ascii="Times New Roman CYR" w:hAnsi="Times New Roman CYR" w:cs="Times New Roman CYR"/>
          <w:sz w:val="24"/>
          <w:szCs w:val="24"/>
        </w:rPr>
        <w:t>лядаються в кiнцi кожного фiнансового року. Вплив будь-яких змiн, що виникають вiд оцiнок, зроблених у попереднi перiоди, враховується як змiна облiкової оцiнки.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Активи, отриманi на умовах фiнансової оренди, визнаються в звiтностi в сумi еквiвалентнiй спр</w:t>
      </w:r>
      <w:r>
        <w:rPr>
          <w:rFonts w:ascii="Times New Roman CYR" w:hAnsi="Times New Roman CYR" w:cs="Times New Roman CYR"/>
          <w:sz w:val="24"/>
          <w:szCs w:val="24"/>
        </w:rPr>
        <w:t>аведливої вартостi майна отриманого в лiзинг або якщо вона нижче - за поточною вартiстю мiнiмальних лiзингових платежiв, яка визначається на початок дiї договору лiзингу. Первiснi прямi витрати лiзингоодержувача включаються до вартостi активу. Активи, отри</w:t>
      </w:r>
      <w:r>
        <w:rPr>
          <w:rFonts w:ascii="Times New Roman CYR" w:hAnsi="Times New Roman CYR" w:cs="Times New Roman CYR"/>
          <w:sz w:val="24"/>
          <w:szCs w:val="24"/>
        </w:rPr>
        <w:t>манi за договорами фiнансової оренди, амортизуються протягом очiкуваного строку їх корисного використання з використанням методу, застосовуваного для амортизацiї власних основних засобiв.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Запаси.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Пiдприємство видiляє наступнi товарно-матерiальнi запаси: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Готова продукцiя;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Товари;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Матерiали;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Запаснi частини;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Незавершене виробництво.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Запаси вiдображаються за найменшою з двох величин: собiвартостi i чистої вартостi реалiзацiї. Собiвартiсть товарiв включає витрати на придбання та, там де це доц</w:t>
      </w:r>
      <w:r>
        <w:rPr>
          <w:rFonts w:ascii="Times New Roman CYR" w:hAnsi="Times New Roman CYR" w:cs="Times New Roman CYR"/>
          <w:sz w:val="24"/>
          <w:szCs w:val="24"/>
        </w:rPr>
        <w:t>iльно, витрати, якi були понесенi у зв'язку з доведенням запасiв до їх поточного стану та мiсця розташування. Собiвартiсть розраховується з використанням методу ФIФО. Чиста вартiсть реалiзацiї розраховується виходячи з передбачуваної продажної цiни за вира</w:t>
      </w:r>
      <w:r>
        <w:rPr>
          <w:rFonts w:ascii="Times New Roman CYR" w:hAnsi="Times New Roman CYR" w:cs="Times New Roman CYR"/>
          <w:sz w:val="24"/>
          <w:szCs w:val="24"/>
        </w:rPr>
        <w:t>хуванням всiх передбачуваних витрат на завершення виробництва i реалiзацiю.</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Пiдприємство перiодично оцiнює запаси на предмет наявностi пошкоджень, застарiння, повiльної оборотностi, зниження чистої вартостi реалiзацiї. У разi, якщо такi подiї мають мiсце,</w:t>
      </w:r>
      <w:r>
        <w:rPr>
          <w:rFonts w:ascii="Times New Roman CYR" w:hAnsi="Times New Roman CYR" w:cs="Times New Roman CYR"/>
          <w:sz w:val="24"/>
          <w:szCs w:val="24"/>
        </w:rPr>
        <w:t xml:space="preserve"> сума, на яку зменшується вартiсть запасiв, вiдображається у звiтi про сукупний дохiд.</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Вiдповiдно до П(С)БО 2 "Баланс", фiнансовi iнвестицiї  - це активи, якi утримуються пiдприємством з метою: збiльшення прибутку (вiдсоткiв, дивiдендiв тощо), зростання в</w:t>
      </w:r>
      <w:r>
        <w:rPr>
          <w:rFonts w:ascii="Times New Roman CYR" w:hAnsi="Times New Roman CYR" w:cs="Times New Roman CYR"/>
          <w:sz w:val="24"/>
          <w:szCs w:val="24"/>
        </w:rPr>
        <w:t>артостi капiталу або iнших вигод для iнвестора. Фiнансових iнвестицiй немає.</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 Опис обраної полiтики щодо фiнансування дiяльностi особи, достатнiсть робочого капiталу для поточних потреб, можливi шляхи покращення лiквiдностi.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Фiнансова дiяльнiсть здiйсн</w:t>
      </w:r>
      <w:r>
        <w:rPr>
          <w:rFonts w:ascii="Times New Roman CYR" w:hAnsi="Times New Roman CYR" w:cs="Times New Roman CYR"/>
          <w:sz w:val="24"/>
          <w:szCs w:val="24"/>
        </w:rPr>
        <w:t>юється за рахунок коштiв пiдприємства. У звiтному роцi товариство кредити не отримувало. Вiдчувається нестача обiгових коштiв для материально-технiчного постачання виробництва i оновлення обладнання.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 Опис полiтики щодо дослiджень та розробок, сума витр</w:t>
      </w:r>
      <w:r>
        <w:rPr>
          <w:rFonts w:ascii="Times New Roman CYR" w:hAnsi="Times New Roman CYR" w:cs="Times New Roman CYR"/>
          <w:sz w:val="24"/>
          <w:szCs w:val="24"/>
        </w:rPr>
        <w:t>ат на дослiдження та розробку за звiтний рiк.</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Дослiдження та розробки на пiдприємствi в звiтному роцi не проводились.</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6. Iнформацiя щодо продуктiв (товарiв або послуг)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 опис продуктiв (товарiв та/або послуг), якi виробляє/надає особа;</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Основними видами продукцiї, якi виробляє товариство є: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газовий лiчильник роторного типу G 2,5; G4; G6, G10;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газовий лiчильник G 2,5ОМЕГА; G4 ОМЕГА; G6 ОМЕГА, G10 ОМЕГА;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газовий лiчильник з електронним облiковим пристроем G1,6-2,5ЕГЛ; G4 ЕГЛ;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Комплект деталей ТЕМП G25, G40, G100, G160, G250;</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обсяги виробництва (у натуральному та грошовому виразi); немає iнформацiї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3) середньореалiзацiйнi цiни продуктiв;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ЕГЛ - 1400 грн.,  РЛ - 900 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 загальна сума виручки - 54648  тис. 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 за</w:t>
      </w:r>
      <w:r>
        <w:rPr>
          <w:rFonts w:ascii="Times New Roman CYR" w:hAnsi="Times New Roman CYR" w:cs="Times New Roman CYR"/>
          <w:sz w:val="24"/>
          <w:szCs w:val="24"/>
        </w:rPr>
        <w:t>гальна сума експорту, частка експорту в загальному обсязi продажiв;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Експорту немає.</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6) залежнiсть вiд сезонних змiн;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Не залежить вiд сезонних змiн.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7) основнi клiєнти (бiльше 5% у загальнiй сумi виручки);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Основнi покупцi продукцiї: АТ "Київгаз", ТОВ НВФ "ТЕМП", ТОВ "КГАЗ КОМЕРЦ", ТОВ ТД "ЯПЗ"</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8) ринки збуту та країни, в яких особою здiйснюється дiяльнiсть;</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Населення України.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9) канали збуту;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Газовий лiчильник реалiзується оптом i вроздрiб по договорах з</w:t>
      </w:r>
      <w:r>
        <w:rPr>
          <w:rFonts w:ascii="Times New Roman CYR" w:hAnsi="Times New Roman CYR" w:cs="Times New Roman CYR"/>
          <w:sz w:val="24"/>
          <w:szCs w:val="24"/>
        </w:rPr>
        <w:t xml:space="preserve"> населенням України, а також по бартерних операцiях для придбання матерiалiв i комплектуючих основного виробництва.</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10) основнi постачальники та види товарiв та/або послуг, якi вони постачають/надають особi, країни з яких здiйснюється постачання/надання т</w:t>
      </w:r>
      <w:r>
        <w:rPr>
          <w:rFonts w:ascii="Times New Roman CYR" w:hAnsi="Times New Roman CYR" w:cs="Times New Roman CYR"/>
          <w:sz w:val="24"/>
          <w:szCs w:val="24"/>
        </w:rPr>
        <w:t xml:space="preserve">оварiв/послуг;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Основнi постачальники: ТОВ "АМБАР" (метал), ПрАТ "ЧIЗ" (iнструменти), ПП "АЛЕОПАК"(тара), ТОВ "ЕНЕРА ВIННИЦЯ" (постачання електроенергiї).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 особливостi стану розвитку галузi, в якiй здiйснює дiяльнiсть особа;</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Особливiстю стану розвитк</w:t>
      </w:r>
      <w:r>
        <w:rPr>
          <w:rFonts w:ascii="Times New Roman CYR" w:hAnsi="Times New Roman CYR" w:cs="Times New Roman CYR"/>
          <w:sz w:val="24"/>
          <w:szCs w:val="24"/>
        </w:rPr>
        <w:t>у галузi є те, що споживачами газових лiчильникiв є пiдприємства та громадяни України з їх низькою купiвельною спроможнiстю. Крiм того закупiвля газових лiчильникiв за кордоном значно збiльшує конкуренцiю на ринку.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12) опис технологiй, якi використовує ос</w:t>
      </w:r>
      <w:r>
        <w:rPr>
          <w:rFonts w:ascii="Times New Roman CYR" w:hAnsi="Times New Roman CYR" w:cs="Times New Roman CYR"/>
          <w:sz w:val="24"/>
          <w:szCs w:val="24"/>
        </w:rPr>
        <w:t>оба у своїй дiяльностi; немає iнформацiї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13) мiсце особи на ринку, на якому вона здiйснює дiяльнiсть; немає iнформацiї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14) рiвень конкуренцiя в галузi, основнi конкуренти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Основними конкурентами у виробництвi побутових газових лiчильникiв є: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ВО "Новатор" м. Хмельницький, побутовi мембраннi лiчильники газу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Компанiя САМГАЗ, побутовi мембраннi лiчильники газу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15) перспективнi плани розвитку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 умовах вiйни прогнозувати перспективи розвитку пiдприємства важко.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8. Опис ризикiв, як при</w:t>
      </w:r>
      <w:r>
        <w:rPr>
          <w:rFonts w:ascii="Times New Roman CYR" w:hAnsi="Times New Roman CYR" w:cs="Times New Roman CYR"/>
          <w:sz w:val="24"/>
          <w:szCs w:val="24"/>
        </w:rPr>
        <w:t>таманнi дiяльностi особи, пiдходи до управлiння ризиками, заходи особи щодо зменшення впливу ризикiв.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Товариство схильне до ринкового ризику, кредитного ризику та ризику лiквiдностi. Ризик є невiд'ємною частиною економiчної дiяльностi Товариства. Товарист</w:t>
      </w:r>
      <w:r>
        <w:rPr>
          <w:rFonts w:ascii="Times New Roman CYR" w:hAnsi="Times New Roman CYR" w:cs="Times New Roman CYR"/>
          <w:sz w:val="24"/>
          <w:szCs w:val="24"/>
        </w:rPr>
        <w:t>во прагне до визначення, оцiнки, монiторингу та управлiння кожним видом ризикiв у своїй дiяльностi вiдповiдно до визначеної полiтики i процедур. Товариство аналiзує термiни корисного використання своїх активiв i термiни погашення зобов'язань, а також плану</w:t>
      </w:r>
      <w:r>
        <w:rPr>
          <w:rFonts w:ascii="Times New Roman CYR" w:hAnsi="Times New Roman CYR" w:cs="Times New Roman CYR"/>
          <w:sz w:val="24"/>
          <w:szCs w:val="24"/>
        </w:rPr>
        <w:t xml:space="preserve">є лiквiднiсть на базi передбачень погашення рiзних iнструментiв. В випадку неостаточностi лiквiдностi Товариство приймає мiри по поповненню ресурсiв. Головними завданнями управлiння фiнансовими ризиками є оптимiзацiя структури капiталу (спiввiдношення мiж </w:t>
      </w:r>
      <w:r>
        <w:rPr>
          <w:rFonts w:ascii="Times New Roman CYR" w:hAnsi="Times New Roman CYR" w:cs="Times New Roman CYR"/>
          <w:sz w:val="24"/>
          <w:szCs w:val="24"/>
        </w:rPr>
        <w:t>власними та позичковими джерелами формування фiнансових ресурсiв) та оптимiзацiя портфеля боргових зобов'язань. Полiтика емiтента щодо управлiння фiнансовими ризиками - система цiлей i завдань управлiння ризиками, а також сукупнiсть методiв i засобiв досяг</w:t>
      </w:r>
      <w:r>
        <w:rPr>
          <w:rFonts w:ascii="Times New Roman CYR" w:hAnsi="Times New Roman CYR" w:cs="Times New Roman CYR"/>
          <w:sz w:val="24"/>
          <w:szCs w:val="24"/>
        </w:rPr>
        <w:t xml:space="preserve">нення цих цiлей. Полiтика управлiння фiнансовими ризиками знаходить своє вiдображення у стратегiї i тактицi виявлення та нейтралiзацiї ризикiв.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Спецiального документу, яким би описувалися характеристики систем внутрiшнього контролю та управлiння ризиками</w:t>
      </w:r>
      <w:r>
        <w:rPr>
          <w:rFonts w:ascii="Times New Roman CYR" w:hAnsi="Times New Roman CYR" w:cs="Times New Roman CYR"/>
          <w:sz w:val="24"/>
          <w:szCs w:val="24"/>
        </w:rPr>
        <w:t xml:space="preserve"> в Товариствi не створено та не затверджено. Проте при здiйсненнi внутрiшнього контролю використовуються рiзнi методи, вони включають в себе такi елементи, як:</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 бухгалтерський фiнансовий облiк (iнвентаризацiя i документацiя, рахунки i подвiйний запис);</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бухгалтерський управлiнський облiк (розподiл обов'язкiв, нормування витрат);</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аудит, контроль, ревiзiя (перевiрка документiв, перевiрка вiрностi  арифметичних розрахункiв, перевiрка дотримання правил облiку окремих господарських операцiй, iнвентариз</w:t>
      </w:r>
      <w:r>
        <w:rPr>
          <w:rFonts w:ascii="Times New Roman CYR" w:hAnsi="Times New Roman CYR" w:cs="Times New Roman CYR"/>
          <w:sz w:val="24"/>
          <w:szCs w:val="24"/>
        </w:rPr>
        <w:t>ацiя, усне опитування персоналу, пiдтвердження i простежування). Всi перерахованi вище методи становлять єдину  систему  i  використовуються  в  цiлях управлiння пiдприємством.</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Емiтентом не використовується метод страхування цiнового ризику за угодами на </w:t>
      </w:r>
      <w:r>
        <w:rPr>
          <w:rFonts w:ascii="Times New Roman CYR" w:hAnsi="Times New Roman CYR" w:cs="Times New Roman CYR"/>
          <w:sz w:val="24"/>
          <w:szCs w:val="24"/>
        </w:rPr>
        <w:t>бiржi (товарнiй, фондовiй) - операцiї хеджування.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9. Стратегiя подальшої дiяльностi особи щонайменше на рiк (щодо розширення виробництва, реконструкцiї, полiпшення фiнансового стану, опис iстотних фа</w:t>
      </w:r>
      <w:r>
        <w:rPr>
          <w:rFonts w:ascii="Times New Roman CYR" w:hAnsi="Times New Roman CYR" w:cs="Times New Roman CYR"/>
          <w:sz w:val="24"/>
          <w:szCs w:val="24"/>
        </w:rPr>
        <w:t>кторiв, якi можуть вплинути на дiяльнiсть особи в майбутньому).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Планується розширити у 2024 роцi асортимент продукцiї, та планується запуститити в серiйне виробництво подрiбнювачiв гiлок, екструдерiв зернових, косарки садовi.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10. Основнi придбання або вi</w:t>
      </w:r>
      <w:r>
        <w:rPr>
          <w:rFonts w:ascii="Times New Roman CYR" w:hAnsi="Times New Roman CYR" w:cs="Times New Roman CYR"/>
          <w:sz w:val="24"/>
          <w:szCs w:val="24"/>
        </w:rPr>
        <w:t>дчуження активiв за останнi п'ять рокiв, а також якщо плануються будь-якi значнi iнвестицiї або придбання, то також необхiдно надати їх опис, включаючи суттєвi умови придбання або iнвестицiї, їх вартiсть i спосiб фiнансування.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2020 рiк основних засобiв</w:t>
      </w:r>
      <w:r>
        <w:rPr>
          <w:rFonts w:ascii="Times New Roman CYR" w:hAnsi="Times New Roman CYR" w:cs="Times New Roman CYR"/>
          <w:sz w:val="24"/>
          <w:szCs w:val="24"/>
        </w:rPr>
        <w:t xml:space="preserve"> надiйшло на суму 788,0 тис.грн., в тому числi: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Транспорнi засоби 701 тис.грн.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Iнструментi, прилади, iнвентар 87,0 тис.грн.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2020 роцi вiдчужено основних засобiв  на суму 973 тис.грн., в тому числi: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Транспортнi засоби - 625,0 тис.грн. (продано)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Прове</w:t>
      </w:r>
      <w:r>
        <w:rPr>
          <w:rFonts w:ascii="Times New Roman CYR" w:hAnsi="Times New Roman CYR" w:cs="Times New Roman CYR"/>
          <w:sz w:val="24"/>
          <w:szCs w:val="24"/>
        </w:rPr>
        <w:t>дено списання зношених та непридатних до експлуатацiї основних засобiв на суму 348 тис.грн., в тому числi: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Машини та обладнання - 179,0 тис. 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Iнструменти, прилади та iнвентар - 169,0 тис. 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 2021 рiк основних засобiв надiйшло на суму 220,0 тис.</w:t>
      </w:r>
      <w:r>
        <w:rPr>
          <w:rFonts w:ascii="Times New Roman CYR" w:hAnsi="Times New Roman CYR" w:cs="Times New Roman CYR"/>
          <w:sz w:val="24"/>
          <w:szCs w:val="24"/>
        </w:rPr>
        <w:t>грн., в тому числi: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Будинки та споруди 39 тис.грн.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Машини та обладнання 65 тис.грн.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Iнструментi, прилади, iнвентар 116 тис.грн.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2021 роцi вiдчуджено основних засобiв на суму 391,0 тис. грн., в тому числi: будiвлi нежитловi 273 тис. грн., машини, обладнання та iнвентар 118 тис. 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У 2022 роцi був придбаний автомобiль Mercedes-Benz Vito вартiстю 152 тис.грн., який був переданий </w:t>
      </w:r>
      <w:r>
        <w:rPr>
          <w:rFonts w:ascii="Times New Roman CYR" w:hAnsi="Times New Roman CYR" w:cs="Times New Roman CYR"/>
          <w:sz w:val="24"/>
          <w:szCs w:val="24"/>
        </w:rPr>
        <w:t>на потреби ЗСУ.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2022 роцi вiдчуження активiв не було.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2023 роцi придбання та  вiдчуження активiв не було.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У 2024 роцi придбали 3 токарних станка, муфельну пiч,генератор 7 КВТ. У 2024 роцi вiдчуження активiв не було.</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Пiдприємству термiново потрiбнi </w:t>
      </w:r>
      <w:r>
        <w:rPr>
          <w:rFonts w:ascii="Times New Roman CYR" w:hAnsi="Times New Roman CYR" w:cs="Times New Roman CYR"/>
          <w:sz w:val="24"/>
          <w:szCs w:val="24"/>
        </w:rPr>
        <w:t>iнвестицiї для оновлення парку металорiзальних верстатiв i холодно штамповочного обладнання. Планується придбання верстатiв та iншого обладнання на суму 8000,00 тис. грн за рахунок прибутку.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11. Основнi засоби особи, включаючи об'єкти оренди та будь-якi з</w:t>
      </w:r>
      <w:r>
        <w:rPr>
          <w:rFonts w:ascii="Times New Roman CYR" w:hAnsi="Times New Roman CYR" w:cs="Times New Roman CYR"/>
          <w:sz w:val="24"/>
          <w:szCs w:val="24"/>
        </w:rPr>
        <w:t>начнi правочини особи щодо них; виробничi потужностi та ступiнь використання обладнання, спосiб утримання активiв, мiсцезнаходження основних засобiв. Крiм того, необхiдно описати екологiчнi питання, що можуть позначитися на використаннi активiв пiдприємств</w:t>
      </w:r>
      <w:r>
        <w:rPr>
          <w:rFonts w:ascii="Times New Roman CYR" w:hAnsi="Times New Roman CYR" w:cs="Times New Roman CYR"/>
          <w:sz w:val="24"/>
          <w:szCs w:val="24"/>
        </w:rPr>
        <w:t>а, плани капiтального будiвництва, розширення або удосконалення основних засобiв, характер та причини таких планiв, суми видаткiв, у тому числi вже зроблених, методи фiнансування, прогнознi дати початку та закiнчення дiяльностi та очiкуване зростання вироб</w:t>
      </w:r>
      <w:r>
        <w:rPr>
          <w:rFonts w:ascii="Times New Roman CYR" w:hAnsi="Times New Roman CYR" w:cs="Times New Roman CYR"/>
          <w:sz w:val="24"/>
          <w:szCs w:val="24"/>
        </w:rPr>
        <w:t>ничих потужностей пiсля її завершення.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Основнi засоби пiдприємства знаходяться за адресою: м. Ямпiль, вул. Замостянська, 83-А. Первiсна вартiсть основних засобiв складає 10008,4 тис.грн., сума нарахованого зносу - 7997,4 тис.грн. Ступiнь зносу 80%, ступiн</w:t>
      </w:r>
      <w:r>
        <w:rPr>
          <w:rFonts w:ascii="Times New Roman CYR" w:hAnsi="Times New Roman CYR" w:cs="Times New Roman CYR"/>
          <w:sz w:val="24"/>
          <w:szCs w:val="24"/>
        </w:rPr>
        <w:t xml:space="preserve">ь використання 20%. Термiн та умови використання осн. засобiв вiдповiдають нормам. Обмежень на використання основних засобiв немає. Основнi засобi всiх груп використовуються за призначенням.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Структура основних засобiв АТ "Ямпiльський приладобудiвний заво</w:t>
      </w:r>
      <w:r>
        <w:rPr>
          <w:rFonts w:ascii="Times New Roman CYR" w:hAnsi="Times New Roman CYR" w:cs="Times New Roman CYR"/>
          <w:sz w:val="24"/>
          <w:szCs w:val="24"/>
        </w:rPr>
        <w:t xml:space="preserve">д":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1. Споруди розташованi на двох промислових площадках загальною площею 4,77 га за мiсцем розташування Товариства.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2. Машини та обладнання. В тому числi: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 xml:space="preserve">- Металообробнi верстати 180 одиниць;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Ковальсько пресове обладнання 21 одиниць;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Машини для лиття пластмасс 8 одиниць;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Машини для лиття алюмiнiю пiд тиском 5 одиниць;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Електротермiчне обладнання 20 одиниць;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Обладнання для гальванопокриття 16 одиниць;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Автотранспорт 9 одиниць.</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Пiдприємство орендує у ТОВ ТД "ЯПЗ":</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ток</w:t>
      </w:r>
      <w:r>
        <w:rPr>
          <w:rFonts w:ascii="Times New Roman CYR" w:hAnsi="Times New Roman CYR" w:cs="Times New Roman CYR"/>
          <w:sz w:val="24"/>
          <w:szCs w:val="24"/>
        </w:rPr>
        <w:t>арний автомат ТОRNOS</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дизель генератор 24 КВТ</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компресор гвинтовий 15 КВТ</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дизель генераторна установка ВВ165.</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В звiтному роцi товариство здавало в оренду примiщення їдальнi физичнiй особi Твердохлiбу В.О.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Виробничi потужностi обладнання пiдприємс</w:t>
      </w:r>
      <w:r>
        <w:rPr>
          <w:rFonts w:ascii="Times New Roman CYR" w:hAnsi="Times New Roman CYR" w:cs="Times New Roman CYR"/>
          <w:sz w:val="24"/>
          <w:szCs w:val="24"/>
        </w:rPr>
        <w:t xml:space="preserve">тва використовувались у 2023 роцi на 80%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 пiдприємствi працює в зимовий перiод - котельня, встановленi 2 водогрiйнi котли. В поточному роцi котельня працювала на дровах i вiдходах столярного виробництва. Гальванiчна дiльниця має свої очиснi споруди, що</w:t>
      </w:r>
      <w:r>
        <w:rPr>
          <w:rFonts w:ascii="Times New Roman CYR" w:hAnsi="Times New Roman CYR" w:cs="Times New Roman CYR"/>
          <w:sz w:val="24"/>
          <w:szCs w:val="24"/>
        </w:rPr>
        <w:t xml:space="preserve"> дозволяють звести шкiдливi викиди до мiнiмуму. Функцiонує власна артезiанська свердловина, що забезпечує потреби пiдприємства в водi. Є дозвiл на водокористування. Планiв капiтального будiвництва на найближчу перспективу немає. В даний час не використовую</w:t>
      </w:r>
      <w:r>
        <w:rPr>
          <w:rFonts w:ascii="Times New Roman CYR" w:hAnsi="Times New Roman CYR" w:cs="Times New Roman CYR"/>
          <w:sz w:val="24"/>
          <w:szCs w:val="24"/>
        </w:rPr>
        <w:t xml:space="preserve">ться виробничi площi на площадцi №2.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Екологiчних питань, що можуть позначитися на використаннi активiв, немає.</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12. Проблеми, якi впливають на дiяльнiсть особи, в тому числi ступiнь залежностi вiд законодавчих або економiчних обмежень.</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Iстотними проблемами, якi впливають на дiяльнiсть товариства є: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нестабiльнiсть податкової полiтики, низький життєвий рiвень населення, закупiвля газових лiчильникiв по кредитах за кордоном, нестабiльнiсть роботи пiдприємств-сумiжникiв;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критичний вiк</w:t>
      </w:r>
      <w:r>
        <w:rPr>
          <w:rFonts w:ascii="Times New Roman CYR" w:hAnsi="Times New Roman CYR" w:cs="Times New Roman CYR"/>
          <w:sz w:val="24"/>
          <w:szCs w:val="24"/>
        </w:rPr>
        <w:t xml:space="preserve"> встановленого обладнання;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низька купiвельна спроможнiсть пiдприємств та населення України, невiдповiднiсть розмiру зарплати, пенсiй i соцiальних виплат розмiрам цiн.</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13. Вартiсть укладених, але ще не виконаних договорiв (контрактiв) на кiнець звiтног</w:t>
      </w:r>
      <w:r>
        <w:rPr>
          <w:rFonts w:ascii="Times New Roman CYR" w:hAnsi="Times New Roman CYR" w:cs="Times New Roman CYR"/>
          <w:sz w:val="24"/>
          <w:szCs w:val="24"/>
        </w:rPr>
        <w:t>о перiоду (загальний пiдсумок) та очiкуванi прибутки вiд виконання цих договорiв (контрактiв).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 xml:space="preserve">Протягом звiтного перiоду всi договiрнi обов'язки виконанi. Попередньо оплачених i не виконаних контрактiв немає.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 2024 роцi планується укладання контрактiв,</w:t>
      </w:r>
      <w:r>
        <w:rPr>
          <w:rFonts w:ascii="Times New Roman CYR" w:hAnsi="Times New Roman CYR" w:cs="Times New Roman CYR"/>
          <w:sz w:val="24"/>
          <w:szCs w:val="24"/>
        </w:rPr>
        <w:t xml:space="preserve"> але суму спрогнозувати неможливо в зв'язку з повновмаштабною агресiєю росiйської федерацiї.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14. Середньооблiкова чисельнiсть штатних працiвникiв особи, середня чисельнiсть позаштатних працiвникiв та осiб, якi працюють за сумiсництвом, чисельнiсть працiвн</w:t>
      </w:r>
      <w:r>
        <w:rPr>
          <w:rFonts w:ascii="Times New Roman CYR" w:hAnsi="Times New Roman CYR" w:cs="Times New Roman CYR"/>
          <w:sz w:val="24"/>
          <w:szCs w:val="24"/>
        </w:rPr>
        <w:t>икiв, якi працюють на умовах неповного робочого часу (дня, тижня), розмiр фонду оплати працi. Крiм того, зазначається про факти змiни розмiру фонду оплати працi, його збiльшення або зменшення вiдносно попереднього року.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Середньооблiкова чисельнiсть штатни</w:t>
      </w:r>
      <w:r>
        <w:rPr>
          <w:rFonts w:ascii="Times New Roman CYR" w:hAnsi="Times New Roman CYR" w:cs="Times New Roman CYR"/>
          <w:sz w:val="24"/>
          <w:szCs w:val="24"/>
        </w:rPr>
        <w:t>х працiвникiв облiкового складу (осiб) - 101;</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Середня чисельность позаштатних працiвникiв та осiб, якi працюють за сумiсництвом (осiб) - 1;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Чисельностi працiвникiв, якi працюють на умовах неповного робочого часу (дня, тижня) (осiб) - 2;</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Фонд оплати працi -  19938,9 тис. грн. Фонд оплати працi збiльшився  вiдносно попереднього року на 12355.6 тис.грн. у зв'язку iз збiльшенням обсягiв виробленої продукцiї.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15. Будь-якi пропозицiї щодо реорганiзацiї з боку третiх осiб, що мали мiсце протяго</w:t>
      </w:r>
      <w:r>
        <w:rPr>
          <w:rFonts w:ascii="Times New Roman CYR" w:hAnsi="Times New Roman CYR" w:cs="Times New Roman CYR"/>
          <w:sz w:val="24"/>
          <w:szCs w:val="24"/>
        </w:rPr>
        <w:t xml:space="preserve">м звiтного перiоду, умови та результати цих пропозицiй.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Будь-якi пропозицiї щодо реорганiзацiї з боку третiх осiб протягом звiтного перiоду не поступали.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16. Iнша iнформацiя, яка може бути iстотною для оцiнки стейкхолдерами фiнансового стану та результа</w:t>
      </w:r>
      <w:r>
        <w:rPr>
          <w:rFonts w:ascii="Times New Roman CYR" w:hAnsi="Times New Roman CYR" w:cs="Times New Roman CYR"/>
          <w:sz w:val="24"/>
          <w:szCs w:val="24"/>
        </w:rPr>
        <w:t>тiв дiяльностi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Немає iнформацiї</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Інформація про основні засоби (за залишковою вартістю)</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058"/>
        <w:gridCol w:w="1260"/>
        <w:gridCol w:w="1080"/>
        <w:gridCol w:w="1260"/>
        <w:gridCol w:w="1080"/>
        <w:gridCol w:w="1260"/>
        <w:gridCol w:w="1082"/>
      </w:tblGrid>
      <w:tr w:rsidR="00000000">
        <w:tblPrEx>
          <w:tblCellMar>
            <w:top w:w="0" w:type="dxa"/>
            <w:bottom w:w="0" w:type="dxa"/>
          </w:tblCellMar>
        </w:tblPrEx>
        <w:trPr>
          <w:trHeight w:val="200"/>
        </w:trPr>
        <w:tc>
          <w:tcPr>
            <w:tcW w:w="3058" w:type="dxa"/>
            <w:vMerge w:val="restart"/>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Найменування основних засобів</w:t>
            </w:r>
          </w:p>
        </w:tc>
        <w:tc>
          <w:tcPr>
            <w:tcW w:w="2340"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Власні основні засоби, тис. грн</w:t>
            </w:r>
          </w:p>
        </w:tc>
        <w:tc>
          <w:tcPr>
            <w:tcW w:w="2340"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Орендовані основні засоби, тис. грн</w:t>
            </w:r>
          </w:p>
        </w:tc>
        <w:tc>
          <w:tcPr>
            <w:tcW w:w="2342"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Основні засоби, усього, тис. грн</w:t>
            </w:r>
          </w:p>
        </w:tc>
      </w:tr>
      <w:tr w:rsidR="00000000">
        <w:tblPrEx>
          <w:tblCellMar>
            <w:top w:w="0" w:type="dxa"/>
            <w:bottom w:w="0" w:type="dxa"/>
          </w:tblCellMar>
        </w:tblPrEx>
        <w:trPr>
          <w:trHeight w:val="200"/>
        </w:trPr>
        <w:tc>
          <w:tcPr>
            <w:tcW w:w="3058" w:type="dxa"/>
            <w:vMerge/>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періоду</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періоду</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періоду</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періоду</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періоду</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періоду</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1. Виробничого призначення:</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1 500,2</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2 011</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1 500,2</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2 011</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будівлі та споруди</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546,6</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504,8</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546,6</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504,8</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машини та обладнання</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406,4</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1 102,6</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406,4</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1 102,6</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транспортні засоби</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527,8</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387,6</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527,8</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387,6</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земельні ділянки</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інші</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19,4</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19,4</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2. Невиробничого призначення:</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будівлі та споруди</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машини та обладнання</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транспортні засоби</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земельні ділянки</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інвестиційна нерухомість</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інші</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Усього</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1 500,2</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2 011</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0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2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1 500,2</w:t>
            </w:r>
          </w:p>
        </w:tc>
        <w:tc>
          <w:tcPr>
            <w:tcW w:w="1082"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2 011</w:t>
            </w:r>
          </w:p>
        </w:tc>
      </w:tr>
      <w:tr w:rsidR="00000000">
        <w:tblPrEx>
          <w:tblCellMar>
            <w:top w:w="0" w:type="dxa"/>
            <w:bottom w:w="0" w:type="dxa"/>
          </w:tblCellMar>
        </w:tblPrEx>
        <w:trPr>
          <w:trHeight w:val="200"/>
        </w:trPr>
        <w:tc>
          <w:tcPr>
            <w:tcW w:w="3058"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Додаткова інформація</w:t>
            </w:r>
          </w:p>
        </w:tc>
        <w:tc>
          <w:tcPr>
            <w:tcW w:w="7022" w:type="dxa"/>
            <w:gridSpan w:val="6"/>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Первiсна вартiсть основних з</w:t>
            </w:r>
            <w:r>
              <w:rPr>
                <w:rFonts w:ascii="Times New Roman CYR" w:hAnsi="Times New Roman CYR" w:cs="Times New Roman CYR"/>
              </w:rPr>
              <w:t>асобiв складає 10008,4 тис.грн., сума нарахованого зносу - 7997,4 тис.грн. Ступiнь зносу 80%, ступiнь використання 20%.</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Термiн та умови використання осн.засобiв вiдповiдають нормам. Обмежень на використання основних засобiв немає. Основнi засобi всiх груп використовуються за призначенням. Змiни у вартостi основних засобiв зумовленi придбанням основних засобiв (3 токарних ст</w:t>
            </w:r>
            <w:r>
              <w:rPr>
                <w:rFonts w:ascii="Times New Roman CYR" w:hAnsi="Times New Roman CYR" w:cs="Times New Roman CYR"/>
              </w:rPr>
              <w:t>анка, муфельна пiч, генератор 7 КВТ) та амортизацiєю.</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Пiдприємство орендує у ТОВ ТД "ЯПЗ" токарний автомат ТОRNOS, дизель генератор 24 КВТ, компресор гвинтовий 15 КВТ, дизель генераторна установка ВВ165. Основнi засоби, отриманi пiдприємством нa пiдставi </w:t>
            </w:r>
            <w:r>
              <w:rPr>
                <w:rFonts w:ascii="Times New Roman CYR" w:hAnsi="Times New Roman CYR" w:cs="Times New Roman CYR"/>
              </w:rPr>
              <w:t>договорiв операцiйної оренди, облiкoвуються в орендаря.</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У 2024 роцi нараховано амортизацiї 424,9 тис.грн. в тому числi:</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Будинки та споруди 41,8 тис. 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Машини та обладнання 217,6 тис.грн.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Транспортнi засоби 140,2 тис.грн.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Iнструментi, прилади, iнвен</w:t>
            </w:r>
            <w:r>
              <w:rPr>
                <w:rFonts w:ascii="Times New Roman CYR" w:hAnsi="Times New Roman CYR" w:cs="Times New Roman CYR"/>
              </w:rPr>
              <w:t>тар 25,2 тис.грн.</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На пiдприємствi облiковуються основнi засоби, що тимчасово не використовуються, залишкова вартiсть яких складає 545 тис.грн.</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Інформація щодо вартості чистих активів</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260"/>
        <w:gridCol w:w="2740"/>
        <w:gridCol w:w="3000"/>
        <w:gridCol w:w="3000"/>
      </w:tblGrid>
      <w:tr w:rsidR="00000000">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Найменування показника</w:t>
            </w:r>
          </w:p>
        </w:tc>
        <w:tc>
          <w:tcPr>
            <w:tcW w:w="3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 звітний період</w:t>
            </w:r>
          </w:p>
        </w:tc>
        <w:tc>
          <w:tcPr>
            <w:tcW w:w="3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 попередній період</w:t>
            </w:r>
          </w:p>
        </w:tc>
      </w:tr>
      <w:tr w:rsidR="00000000">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Розрахункова вартість чистих активів, тис.грн</w:t>
            </w:r>
          </w:p>
        </w:tc>
        <w:tc>
          <w:tcPr>
            <w:tcW w:w="3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40 524,3</w:t>
            </w:r>
          </w:p>
        </w:tc>
        <w:tc>
          <w:tcPr>
            <w:tcW w:w="3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28 828,6</w:t>
            </w:r>
          </w:p>
        </w:tc>
      </w:tr>
      <w:tr w:rsidR="00000000">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Статутний капітал, тис.грн</w:t>
            </w:r>
          </w:p>
        </w:tc>
        <w:tc>
          <w:tcPr>
            <w:tcW w:w="3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52,8</w:t>
            </w:r>
          </w:p>
        </w:tc>
        <w:tc>
          <w:tcPr>
            <w:tcW w:w="3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52,8</w:t>
            </w:r>
          </w:p>
        </w:tc>
      </w:tr>
      <w:tr w:rsidR="00000000">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Скоригований статутний капітал, тис.грн</w:t>
            </w:r>
          </w:p>
        </w:tc>
        <w:tc>
          <w:tcPr>
            <w:tcW w:w="3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52,8</w:t>
            </w:r>
          </w:p>
        </w:tc>
        <w:tc>
          <w:tcPr>
            <w:tcW w:w="3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52,8</w:t>
            </w:r>
          </w:p>
        </w:tc>
      </w:tr>
      <w:tr w:rsidR="00000000">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Співвідношення (у відсотках) вартості чистих активів особи за звітний період до розміру зареєстрованог</w:t>
            </w:r>
            <w:r>
              <w:rPr>
                <w:rFonts w:ascii="Times New Roman CYR" w:hAnsi="Times New Roman CYR" w:cs="Times New Roman CYR"/>
              </w:rPr>
              <w:t>о статутного капіталу особи</w:t>
            </w:r>
          </w:p>
        </w:tc>
        <w:tc>
          <w:tcPr>
            <w:tcW w:w="3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76 751</w:t>
            </w:r>
          </w:p>
        </w:tc>
        <w:tc>
          <w:tcPr>
            <w:tcW w:w="3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54 600</w:t>
            </w:r>
          </w:p>
        </w:tc>
      </w:tr>
      <w:tr w:rsidR="00000000">
        <w:tblPrEx>
          <w:tblCellMar>
            <w:top w:w="0" w:type="dxa"/>
            <w:bottom w:w="0" w:type="dxa"/>
          </w:tblCellMar>
        </w:tblPrEx>
        <w:trPr>
          <w:trHeight w:val="200"/>
        </w:trPr>
        <w:tc>
          <w:tcPr>
            <w:tcW w:w="4000" w:type="dxa"/>
            <w:gridSpan w:val="2"/>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Співвідношення (у відсотках) вартості чистих активів особи за звітний період до вартості чистих активів за попередній звітний період</w:t>
            </w:r>
          </w:p>
        </w:tc>
        <w:tc>
          <w:tcPr>
            <w:tcW w:w="3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140,1</w:t>
            </w:r>
          </w:p>
        </w:tc>
        <w:tc>
          <w:tcPr>
            <w:tcW w:w="3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91,7</w:t>
            </w:r>
          </w:p>
        </w:tc>
      </w:tr>
      <w:tr w:rsidR="00000000">
        <w:tblPrEx>
          <w:tblCellMar>
            <w:top w:w="0" w:type="dxa"/>
            <w:bottom w:w="0" w:type="dxa"/>
          </w:tblCellMar>
        </w:tblPrEx>
        <w:trPr>
          <w:trHeight w:val="200"/>
        </w:trPr>
        <w:tc>
          <w:tcPr>
            <w:tcW w:w="126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Висновок</w:t>
            </w:r>
          </w:p>
        </w:tc>
        <w:tc>
          <w:tcPr>
            <w:tcW w:w="8740" w:type="dxa"/>
            <w:gridSpan w:val="3"/>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Розрахунок вартостi чистих активiв вiдбувався вiдповiдно до пункту 2 статтi 14 Закону України "Про акцiонернi товариства" № 514-VI вiд 17.09.2008 р. та Положення (стандарту) бухгалтерського облiку 25 "Фiнансовий звiт суб'єкта малого пiдприємництва", затвер</w:t>
            </w:r>
            <w:r>
              <w:rPr>
                <w:rFonts w:ascii="Times New Roman CYR" w:hAnsi="Times New Roman CYR" w:cs="Times New Roman CYR"/>
              </w:rPr>
              <w:t>дженого Наказом Мiнiстерства фiнансiв України № 39 вiд 25.02.2000 р. Визначення вартостi чистих активiв проводилося за формулою: Власний капiтал (вартiсть чистих активiв) товариства - рiзниця мiж сукупною вартiстю активiв товариства та вартiстю його зобов'</w:t>
            </w:r>
            <w:r>
              <w:rPr>
                <w:rFonts w:ascii="Times New Roman CYR" w:hAnsi="Times New Roman CYR" w:cs="Times New Roman CYR"/>
              </w:rPr>
              <w:t>язань перед iншими особами.</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Розрахункова вартiсть чистих активiв перевищує статутний капiтал на 40471,5 тис.грн. Вимоги частини третьої статтi 155 Цивiльного кодексу України дотриманi. Зменшення статутного капiталу не вимагається.</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Інформація про зобов'язання та забезпечення особи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780"/>
        <w:gridCol w:w="1440"/>
        <w:gridCol w:w="1480"/>
        <w:gridCol w:w="1940"/>
        <w:gridCol w:w="1328"/>
      </w:tblGrid>
      <w:tr w:rsidR="00000000">
        <w:tblPrEx>
          <w:tblCellMar>
            <w:top w:w="0" w:type="dxa"/>
            <w:bottom w:w="0" w:type="dxa"/>
          </w:tblCellMar>
        </w:tblPrEx>
        <w:trPr>
          <w:trHeight w:val="2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Види зобов’язань</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Дата виникнення</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Непогашена частина боргу (тис. грн)</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Відсоток за користування коштами (відсоток річних)</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Дата погашення</w:t>
            </w:r>
          </w:p>
        </w:tc>
      </w:tr>
      <w:tr w:rsidR="00000000">
        <w:tblPrEx>
          <w:tblCellMar>
            <w:top w:w="0" w:type="dxa"/>
            <w:bottom w:w="0" w:type="dxa"/>
          </w:tblCellMar>
        </w:tblPrEx>
        <w:trPr>
          <w:trHeight w:val="2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Кредити банку</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2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lastRenderedPageBreak/>
              <w:t>у тому числі:</w:t>
            </w:r>
          </w:p>
        </w:tc>
        <w:tc>
          <w:tcPr>
            <w:tcW w:w="6188" w:type="dxa"/>
            <w:gridSpan w:val="4"/>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Зобов’</w:t>
            </w:r>
            <w:r>
              <w:rPr>
                <w:rFonts w:ascii="Times New Roman CYR" w:hAnsi="Times New Roman CYR" w:cs="Times New Roman CYR"/>
              </w:rPr>
              <w:t>язання за цінними паперами</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 тому числі:</w:t>
            </w:r>
          </w:p>
        </w:tc>
        <w:tc>
          <w:tcPr>
            <w:tcW w:w="6188" w:type="dxa"/>
            <w:gridSpan w:val="4"/>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облігаціями (за кожним власним випуском):</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іпотечними цінними паперами (за кожним власним випуском):</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сертифікатами ФОН (за кожним власним випуском):</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векселями (всього):</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іншими цінними паперами (у тому числі за деривативами) (за кожним видом):</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фінансовими інвестиціями в корпоративні права (за кожним видом):</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Податкові зобов'язання</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1 549,6</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розрахунками з бюджетом</w:t>
            </w:r>
          </w:p>
        </w:tc>
        <w:tc>
          <w:tcPr>
            <w:tcW w:w="14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48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1 549,6</w:t>
            </w:r>
          </w:p>
        </w:tc>
        <w:tc>
          <w:tcPr>
            <w:tcW w:w="19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Фінансова допомога на зворотній основі</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p>
        </w:tc>
        <w:tc>
          <w:tcPr>
            <w:tcW w:w="14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48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9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зобов'язання та забезпечення</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7 087,8</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товари, роботи, послуги</w:t>
            </w:r>
          </w:p>
        </w:tc>
        <w:tc>
          <w:tcPr>
            <w:tcW w:w="14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48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864,1</w:t>
            </w:r>
          </w:p>
        </w:tc>
        <w:tc>
          <w:tcPr>
            <w:tcW w:w="19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розрахунками зi страхування</w:t>
            </w:r>
          </w:p>
        </w:tc>
        <w:tc>
          <w:tcPr>
            <w:tcW w:w="14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48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216,1</w:t>
            </w:r>
          </w:p>
        </w:tc>
        <w:tc>
          <w:tcPr>
            <w:tcW w:w="19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 розрахунками з оплати працi</w:t>
            </w:r>
          </w:p>
        </w:tc>
        <w:tc>
          <w:tcPr>
            <w:tcW w:w="14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48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788,2</w:t>
            </w:r>
          </w:p>
        </w:tc>
        <w:tc>
          <w:tcPr>
            <w:tcW w:w="19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Поточна кредиторська заборгованiсть за довгостроковими зобов"язаннями</w:t>
            </w:r>
          </w:p>
        </w:tc>
        <w:tc>
          <w:tcPr>
            <w:tcW w:w="14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48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767</w:t>
            </w:r>
          </w:p>
        </w:tc>
        <w:tc>
          <w:tcPr>
            <w:tcW w:w="19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iншi поточнi зобов'язання</w:t>
            </w:r>
          </w:p>
        </w:tc>
        <w:tc>
          <w:tcPr>
            <w:tcW w:w="14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48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4 482,4</w:t>
            </w:r>
          </w:p>
        </w:tc>
        <w:tc>
          <w:tcPr>
            <w:tcW w:w="194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300"/>
        </w:trPr>
        <w:tc>
          <w:tcPr>
            <w:tcW w:w="378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Усього зобов'язань та забезпечень</w:t>
            </w:r>
          </w:p>
        </w:tc>
        <w:tc>
          <w:tcPr>
            <w:tcW w:w="14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48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8 637,4</w:t>
            </w:r>
          </w:p>
        </w:tc>
        <w:tc>
          <w:tcPr>
            <w:tcW w:w="194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328"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Інформація про осіб, послугами яких користується особа</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00"/>
        <w:gridCol w:w="4000"/>
      </w:tblGrid>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Повне найменування або ім'я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Публiчне акцiонерне товариство Нацiональний депозитарiй України"</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РНОКПП</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УНЗР</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Організаційно-правова форма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Акціонерне товариство</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Ідентифікаційний код юридичної особи</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30370711</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Місцезнаходження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04107, Київська обл., Шевченкiвський р-н, м.Київ, вул.Тропiнiа,7-Г</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Номер ліцензії або іншого документа на цей вид діяльності</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немає</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Найменування державного органу, що видав ліцензію або інший документ</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немає</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Дата видачі ліцензії або іншого документа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Міжміський код та телефон</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(044)3630400</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Основні види діяльності із зазначенням їх найменування та коду за КВЕД</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66.19 - Iнша допомiжна дiяльнiсть у сферi фiнансових послуг, крiм страхування та пенсiйного забезпечення</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Вид послуг, які надає особа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Депозитарна дiяльнiсть депозитарної установи</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00"/>
        <w:gridCol w:w="4000"/>
      </w:tblGrid>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Повне найменування або ім'я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xml:space="preserve">Товариство з обмеженоє </w:t>
            </w:r>
            <w:r>
              <w:rPr>
                <w:rFonts w:ascii="Times New Roman CYR" w:hAnsi="Times New Roman CYR" w:cs="Times New Roman CYR"/>
              </w:rPr>
              <w:lastRenderedPageBreak/>
              <w:t>вiдповiдальнiстю "Бюро iнвестицiйних технологiй"</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lastRenderedPageBreak/>
              <w:t>РНОКПП</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УНЗР</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Організаційно-правова форма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Товариство з обмеженою відповідальністю</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Ідентифікаційний код юридичної особи</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33056212</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Місцезнаходження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01133, Київська обл., Печерський р-н, м.Київ, вул. Кутузова, 18/7</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Номер ліцензії або іншого документа на цей вид діяльності</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АВ №483502</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Найменування державного органу, що видав ліцензію або і</w:t>
            </w:r>
            <w:r>
              <w:rPr>
                <w:rFonts w:ascii="Times New Roman CYR" w:hAnsi="Times New Roman CYR" w:cs="Times New Roman CYR"/>
              </w:rPr>
              <w:t>нший документ</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НКЦПФР</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Дата видачі ліцензії або іншого документа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03.07.2009</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Міжміський код та телефон</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(044)3695091</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Основні види діяльності із зазначенням їх найменування та коду за КВЕД</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66.19 - Iнша допомiжна дiяльнiсть у сферi фiнансових послуг, крiм страхування та пенсiйного забезпечення</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Вид послуг, які надає особа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Депозитарна дiяльнiсть депозитарної установи</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00"/>
        <w:gridCol w:w="4000"/>
      </w:tblGrid>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Повне найменування або ім'я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Державна устан</w:t>
            </w:r>
            <w:r>
              <w:rPr>
                <w:rFonts w:ascii="Times New Roman CYR" w:hAnsi="Times New Roman CYR" w:cs="Times New Roman CYR"/>
              </w:rPr>
              <w:t>ова "Агентство з розвитку iнфраструктури фондового ринку України"</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РНОКПП</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УНЗР</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Організаційно-правова форма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Державна організація (установа, заклад)</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Ідентифікаційний код юридичної особи</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21676262</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Місцезнаходження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03150, Київська обл., Голосiїв</w:t>
            </w:r>
            <w:r>
              <w:rPr>
                <w:rFonts w:ascii="Times New Roman CYR" w:hAnsi="Times New Roman CYR" w:cs="Times New Roman CYR"/>
              </w:rPr>
              <w:t>ський р-н, м.Київ, вул. Антоновича, 51, оф. 1206</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Номер ліцензії або іншого документа на цей вид діяльності</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DR/00002/ARM</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Найменування державного органу, що видав ліцензію або інший документ</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НКЦПФР</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Дата видачі ліцензії або іншого документа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18.02.2019</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Між</w:t>
            </w:r>
            <w:r>
              <w:rPr>
                <w:rFonts w:ascii="Times New Roman CYR" w:hAnsi="Times New Roman CYR" w:cs="Times New Roman CYR"/>
              </w:rPr>
              <w:t>міський код та телефон</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(044)2875670</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Основні види діяльності із зазначенням їх найменування та коду за КВЕД</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63.11 - Оброблення даних, розмiщення iнформацiї на веб-вузлах i пов'язана з ними дiяльнiсть</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Вид послуг, які надає особа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Дiяльнiсть з надання iнформ</w:t>
            </w:r>
            <w:r>
              <w:rPr>
                <w:rFonts w:ascii="Times New Roman CYR" w:hAnsi="Times New Roman CYR" w:cs="Times New Roman CYR"/>
              </w:rPr>
              <w:t>ацiйних послуг на фондовому ринку</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00"/>
        <w:gridCol w:w="4000"/>
      </w:tblGrid>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Повне найменування або ім'я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Державна установа "Агентство з розвитку iнфраструктури фондового ринку України"</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РНОКПП</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УНЗР</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Організаційно-правова форма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Державна організація (установа, заклад)</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Ідентифікаці</w:t>
            </w:r>
            <w:r>
              <w:rPr>
                <w:rFonts w:ascii="Times New Roman CYR" w:hAnsi="Times New Roman CYR" w:cs="Times New Roman CYR"/>
              </w:rPr>
              <w:t>йний код юридичної особи</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21676262</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Місцезнаходження</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03150, Київська обл., Голосiївський р-н, м.Київ, вул. Антоновича, 51, оф. 1206</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Номер ліцензії або іншого документа на цей вид діяльності</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DR/00001/APA</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Найменування державного органу, що видав ліцензію аб</w:t>
            </w:r>
            <w:r>
              <w:rPr>
                <w:rFonts w:ascii="Times New Roman CYR" w:hAnsi="Times New Roman CYR" w:cs="Times New Roman CYR"/>
              </w:rPr>
              <w:t>о інший документ</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НКЦПФР</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lastRenderedPageBreak/>
              <w:t>Дата видачі ліцензії або іншого документа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18.02.2019</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Міжміський код та телефон</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(044)2875670</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Основні види діяльності із зазначенням їх найменування та коду за КВЕД</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63.11 - Оброблення даних, розмiщення iнформацiї на веб-вузлах i по</w:t>
            </w:r>
            <w:r>
              <w:rPr>
                <w:rFonts w:ascii="Times New Roman CYR" w:hAnsi="Times New Roman CYR" w:cs="Times New Roman CYR"/>
              </w:rPr>
              <w:t>в'язана з ними дiяльнiсть</w:t>
            </w:r>
          </w:p>
        </w:tc>
      </w:tr>
      <w:tr w:rsidR="00000000">
        <w:tblPrEx>
          <w:tblCellMar>
            <w:top w:w="0" w:type="dxa"/>
            <w:bottom w:w="0" w:type="dxa"/>
          </w:tblCellMar>
        </w:tblPrEx>
        <w:trPr>
          <w:trHeight w:val="200"/>
        </w:trPr>
        <w:tc>
          <w:tcPr>
            <w:tcW w:w="6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Вид послуг, які надає особа</w:t>
            </w:r>
          </w:p>
        </w:tc>
        <w:tc>
          <w:tcPr>
            <w:tcW w:w="4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Дiяльнiсть з надання iнформацiйних послуг на фондовому ринку</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rPr>
        <w:sectPr w:rsidR="00000000">
          <w:pgSz w:w="12240" w:h="15840"/>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lastRenderedPageBreak/>
        <w:t>II. Інформація щодо капіталу та цінних паперів</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i/>
          <w:iCs/>
          <w:sz w:val="24"/>
          <w:szCs w:val="24"/>
        </w:rPr>
        <w:t>1. Структура капіталу</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00"/>
        <w:gridCol w:w="2000"/>
        <w:gridCol w:w="2000"/>
        <w:gridCol w:w="2000"/>
        <w:gridCol w:w="1900"/>
        <w:gridCol w:w="2000"/>
        <w:gridCol w:w="2000"/>
        <w:gridCol w:w="3000"/>
      </w:tblGrid>
      <w:tr w:rsidR="00000000">
        <w:tblPrEx>
          <w:tblCellMar>
            <w:top w:w="0" w:type="dxa"/>
            <w:bottom w:w="0" w:type="dxa"/>
          </w:tblCellMar>
        </w:tblPrEx>
        <w:trPr>
          <w:trHeight w:val="2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з/п</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Тип та/або клас акцій</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Номер свідоцтва про реєстрацію випуску</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акцій, шт.</w:t>
            </w:r>
          </w:p>
        </w:tc>
        <w:tc>
          <w:tcPr>
            <w:tcW w:w="1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Номінальна вартість, грн</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Права та обов'язки</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Наявність публічної пропозиції та/або допуску до торгів на організованих ринках капіталу</w:t>
            </w:r>
          </w:p>
        </w:tc>
        <w:tc>
          <w:tcPr>
            <w:tcW w:w="3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Облік часток особи в обліковій системі часток</w:t>
            </w:r>
          </w:p>
        </w:tc>
      </w:tr>
      <w:tr w:rsidR="00000000">
        <w:tblPrEx>
          <w:tblCellMar>
            <w:top w:w="0" w:type="dxa"/>
            <w:left w:w="28" w:type="dxa"/>
            <w:bottom w:w="0" w:type="dxa"/>
            <w:right w:w="28" w:type="dxa"/>
          </w:tblCellMar>
        </w:tblPrEx>
        <w:trPr>
          <w:trHeight w:val="200"/>
        </w:trPr>
        <w:tc>
          <w:tcPr>
            <w:tcW w:w="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c>
          <w:tcPr>
            <w:tcW w:w="19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w:t>
            </w:r>
          </w:p>
        </w:tc>
        <w:tc>
          <w:tcPr>
            <w:tcW w:w="3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w:t>
            </w:r>
          </w:p>
        </w:tc>
      </w:tr>
      <w:tr w:rsidR="00000000">
        <w:tblPrEx>
          <w:tblCellMar>
            <w:top w:w="0" w:type="dxa"/>
            <w:bottom w:w="0" w:type="dxa"/>
          </w:tblCellMar>
        </w:tblPrEx>
        <w:trPr>
          <w:trHeight w:val="300"/>
        </w:trPr>
        <w:tc>
          <w:tcPr>
            <w:tcW w:w="5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Акцiя проста бездокументарна iменна</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86/02/1/10</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211 001</w:t>
            </w:r>
          </w:p>
        </w:tc>
        <w:tc>
          <w:tcPr>
            <w:tcW w:w="19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0,25</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Права та обов'язки акцiонерiв визначенi Законом України "Про акцiонернi товариства" та iншими чинними нормативними актами</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немає</w:t>
            </w:r>
          </w:p>
        </w:tc>
        <w:tc>
          <w:tcPr>
            <w:tcW w:w="3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Особа не є товариством з обмеженою або додатковою вiдповiдальнiстю.</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i/>
          <w:iCs/>
          <w:sz w:val="24"/>
          <w:szCs w:val="24"/>
        </w:rPr>
        <w:t>3. Цінні папери</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Інформація про випуски акцій особи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250"/>
        <w:gridCol w:w="1350"/>
        <w:gridCol w:w="2400"/>
        <w:gridCol w:w="1700"/>
        <w:gridCol w:w="1600"/>
        <w:gridCol w:w="1350"/>
        <w:gridCol w:w="1450"/>
        <w:gridCol w:w="1200"/>
        <w:gridCol w:w="1400"/>
        <w:gridCol w:w="1700"/>
      </w:tblGrid>
      <w:tr w:rsidR="00000000">
        <w:tblPrEx>
          <w:tblCellMar>
            <w:top w:w="0" w:type="dxa"/>
            <w:bottom w:w="0" w:type="dxa"/>
          </w:tblCellMar>
        </w:tblPrEx>
        <w:trPr>
          <w:trHeight w:val="200"/>
        </w:trPr>
        <w:tc>
          <w:tcPr>
            <w:tcW w:w="12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Дата реєстрації випуску</w:t>
            </w:r>
          </w:p>
        </w:tc>
        <w:tc>
          <w:tcPr>
            <w:tcW w:w="13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Номер свідоцтва про реєстрацію випуску</w:t>
            </w:r>
          </w:p>
        </w:tc>
        <w:tc>
          <w:tcPr>
            <w:tcW w:w="2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Найменування органу, що зареєстрував випуск</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Міжнародний і</w:t>
            </w:r>
            <w:r>
              <w:rPr>
                <w:rFonts w:ascii="Times New Roman CYR" w:hAnsi="Times New Roman CYR" w:cs="Times New Roman CYR"/>
              </w:rPr>
              <w:t>дентифікаційний номер</w:t>
            </w:r>
          </w:p>
        </w:tc>
        <w:tc>
          <w:tcPr>
            <w:tcW w:w="16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Тип цінного папера</w:t>
            </w:r>
          </w:p>
        </w:tc>
        <w:tc>
          <w:tcPr>
            <w:tcW w:w="13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Форма існування та форма випуску</w:t>
            </w:r>
          </w:p>
        </w:tc>
        <w:tc>
          <w:tcPr>
            <w:tcW w:w="1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Номінальна вартість, грн</w:t>
            </w:r>
          </w:p>
        </w:tc>
        <w:tc>
          <w:tcPr>
            <w:tcW w:w="12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акцій, шт.</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Загальна номінальна вартість, грн</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Частка у статутному капіталі (у відсотках)</w:t>
            </w:r>
          </w:p>
        </w:tc>
      </w:tr>
      <w:tr w:rsidR="00000000">
        <w:tblPrEx>
          <w:tblCellMar>
            <w:top w:w="0" w:type="dxa"/>
            <w:bottom w:w="0" w:type="dxa"/>
          </w:tblCellMar>
        </w:tblPrEx>
        <w:trPr>
          <w:trHeight w:val="200"/>
        </w:trPr>
        <w:tc>
          <w:tcPr>
            <w:tcW w:w="12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13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2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c>
          <w:tcPr>
            <w:tcW w:w="16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w:t>
            </w:r>
          </w:p>
        </w:tc>
        <w:tc>
          <w:tcPr>
            <w:tcW w:w="13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w:t>
            </w:r>
          </w:p>
        </w:tc>
        <w:tc>
          <w:tcPr>
            <w:tcW w:w="1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w:t>
            </w:r>
          </w:p>
        </w:tc>
        <w:tc>
          <w:tcPr>
            <w:tcW w:w="12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w:t>
            </w:r>
          </w:p>
        </w:tc>
        <w:tc>
          <w:tcPr>
            <w:tcW w:w="1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w:t>
            </w:r>
          </w:p>
        </w:tc>
      </w:tr>
      <w:tr w:rsidR="00000000">
        <w:tblPrEx>
          <w:tblCellMar>
            <w:top w:w="0" w:type="dxa"/>
            <w:bottom w:w="0" w:type="dxa"/>
          </w:tblCellMar>
        </w:tblPrEx>
        <w:trPr>
          <w:trHeight w:val="200"/>
        </w:trPr>
        <w:tc>
          <w:tcPr>
            <w:tcW w:w="12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10.09.2010</w:t>
            </w:r>
          </w:p>
        </w:tc>
        <w:tc>
          <w:tcPr>
            <w:tcW w:w="13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86/02/1/10</w:t>
            </w:r>
          </w:p>
        </w:tc>
        <w:tc>
          <w:tcPr>
            <w:tcW w:w="24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Вiнни</w:t>
            </w:r>
            <w:r>
              <w:rPr>
                <w:rFonts w:ascii="Times New Roman CYR" w:hAnsi="Times New Roman CYR" w:cs="Times New Roman CYR"/>
              </w:rPr>
              <w:t>цьке територiальне управлiння ДКЦПФР</w:t>
            </w:r>
          </w:p>
        </w:tc>
        <w:tc>
          <w:tcPr>
            <w:tcW w:w="17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UA4000092266</w:t>
            </w:r>
          </w:p>
        </w:tc>
        <w:tc>
          <w:tcPr>
            <w:tcW w:w="16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Акція проста бездокументарна іменна</w:t>
            </w:r>
          </w:p>
        </w:tc>
        <w:tc>
          <w:tcPr>
            <w:tcW w:w="13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Електронні іменні</w:t>
            </w:r>
          </w:p>
        </w:tc>
        <w:tc>
          <w:tcPr>
            <w:tcW w:w="14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0,25</w:t>
            </w:r>
          </w:p>
        </w:tc>
        <w:tc>
          <w:tcPr>
            <w:tcW w:w="12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211 001</w:t>
            </w:r>
          </w:p>
        </w:tc>
        <w:tc>
          <w:tcPr>
            <w:tcW w:w="14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52 750,25</w:t>
            </w:r>
          </w:p>
        </w:tc>
        <w:tc>
          <w:tcPr>
            <w:tcW w:w="17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w:t>
            </w:r>
          </w:p>
        </w:tc>
      </w:tr>
      <w:tr w:rsidR="00000000">
        <w:tblPrEx>
          <w:tblCellMar>
            <w:top w:w="0" w:type="dxa"/>
            <w:bottom w:w="0" w:type="dxa"/>
          </w:tblCellMar>
        </w:tblPrEx>
        <w:trPr>
          <w:trHeight w:val="200"/>
        </w:trPr>
        <w:tc>
          <w:tcPr>
            <w:tcW w:w="2600" w:type="dxa"/>
            <w:gridSpan w:val="2"/>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Додаткова інформація</w:t>
            </w:r>
          </w:p>
        </w:tc>
        <w:tc>
          <w:tcPr>
            <w:tcW w:w="12800" w:type="dxa"/>
            <w:gridSpan w:val="8"/>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Торгiвля акцiями товариства на внутрiшнiх та зовнiш</w:t>
            </w:r>
            <w:r>
              <w:rPr>
                <w:rFonts w:ascii="Times New Roman CYR" w:hAnsi="Times New Roman CYR" w:cs="Times New Roman CYR"/>
              </w:rPr>
              <w:t>нiх ринках ЦП не здiйснювалась. Заяви для допуску на фондовi бiржi не подавались i подаватись не передбачається. Факти лiстiнгу та делiстiнгу на фондових бiржах вiдсутнi.</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Уточнення щодо наявності обмежень за акціями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850"/>
        <w:gridCol w:w="3850"/>
        <w:gridCol w:w="3850"/>
        <w:gridCol w:w="3850"/>
      </w:tblGrid>
      <w:tr w:rsidR="00000000">
        <w:tblPrEx>
          <w:tblCellMar>
            <w:top w:w="0" w:type="dxa"/>
            <w:bottom w:w="0" w:type="dxa"/>
          </w:tblCellMar>
        </w:tblPrEx>
        <w:trPr>
          <w:trHeight w:val="200"/>
        </w:trPr>
        <w:tc>
          <w:tcPr>
            <w:tcW w:w="3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Міжнародний ідентифікаційний номер</w:t>
            </w:r>
          </w:p>
        </w:tc>
        <w:tc>
          <w:tcPr>
            <w:tcW w:w="38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w:t>
            </w:r>
            <w:r>
              <w:rPr>
                <w:rFonts w:ascii="Times New Roman CYR" w:hAnsi="Times New Roman CYR" w:cs="Times New Roman CYR"/>
              </w:rPr>
              <w:t>ькість акцій (з них голосуючих), шт.</w:t>
            </w:r>
          </w:p>
        </w:tc>
        <w:tc>
          <w:tcPr>
            <w:tcW w:w="38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викуплених акцій (кількість акцій прирівняних до викуплених), шт.</w:t>
            </w:r>
          </w:p>
        </w:tc>
        <w:tc>
          <w:tcPr>
            <w:tcW w:w="38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інших не голосуючих акцій, шт.</w:t>
            </w:r>
          </w:p>
        </w:tc>
      </w:tr>
      <w:tr w:rsidR="00000000">
        <w:tblPrEx>
          <w:tblCellMar>
            <w:top w:w="0" w:type="dxa"/>
            <w:bottom w:w="0" w:type="dxa"/>
          </w:tblCellMar>
        </w:tblPrEx>
        <w:trPr>
          <w:trHeight w:val="200"/>
        </w:trPr>
        <w:tc>
          <w:tcPr>
            <w:tcW w:w="3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38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38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38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000000">
        <w:tblPrEx>
          <w:tblCellMar>
            <w:top w:w="0" w:type="dxa"/>
            <w:bottom w:w="0" w:type="dxa"/>
          </w:tblCellMar>
        </w:tblPrEx>
        <w:trPr>
          <w:trHeight w:val="200"/>
        </w:trPr>
        <w:tc>
          <w:tcPr>
            <w:tcW w:w="38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UA4000092266</w:t>
            </w:r>
          </w:p>
        </w:tc>
        <w:tc>
          <w:tcPr>
            <w:tcW w:w="38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171385</w:t>
            </w:r>
          </w:p>
        </w:tc>
        <w:tc>
          <w:tcPr>
            <w:tcW w:w="38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38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39616</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Інформація про наявність у власності працівників особи акцій у розмірі понад 0,1 % розміру статутного капіталу</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000"/>
        <w:gridCol w:w="2000"/>
        <w:gridCol w:w="2000"/>
        <w:gridCol w:w="2000"/>
        <w:gridCol w:w="2000"/>
        <w:gridCol w:w="1700"/>
        <w:gridCol w:w="1700"/>
      </w:tblGrid>
      <w:tr w:rsidR="00000000">
        <w:tblPrEx>
          <w:tblCellMar>
            <w:top w:w="0" w:type="dxa"/>
            <w:bottom w:w="0" w:type="dxa"/>
          </w:tblCellMar>
        </w:tblPrEx>
        <w:trPr>
          <w:trHeight w:val="300"/>
        </w:trPr>
        <w:tc>
          <w:tcPr>
            <w:tcW w:w="4000" w:type="dxa"/>
            <w:vMerge w:val="restart"/>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Ім'я</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РНОКПП</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УНЗР</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акцій, шт.</w:t>
            </w:r>
          </w:p>
        </w:tc>
        <w:tc>
          <w:tcPr>
            <w:tcW w:w="200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Від загальної кількості акцій (у відсотках)</w:t>
            </w:r>
          </w:p>
        </w:tc>
        <w:tc>
          <w:tcPr>
            <w:tcW w:w="3400"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за типами акцій</w:t>
            </w:r>
          </w:p>
        </w:tc>
      </w:tr>
      <w:tr w:rsidR="00000000">
        <w:tblPrEx>
          <w:tblCellMar>
            <w:top w:w="0" w:type="dxa"/>
            <w:bottom w:w="0" w:type="dxa"/>
          </w:tblCellMar>
        </w:tblPrEx>
        <w:trPr>
          <w:trHeight w:val="300"/>
        </w:trPr>
        <w:tc>
          <w:tcPr>
            <w:tcW w:w="4000" w:type="dxa"/>
            <w:vMerge/>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прості іменні</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привілейовані іменні</w:t>
            </w:r>
          </w:p>
        </w:tc>
      </w:tr>
      <w:tr w:rsidR="00000000">
        <w:tblPrEx>
          <w:tblCellMar>
            <w:top w:w="0" w:type="dxa"/>
            <w:bottom w:w="0" w:type="dxa"/>
          </w:tblCellMar>
        </w:tblPrEx>
        <w:trPr>
          <w:trHeight w:val="300"/>
        </w:trPr>
        <w:tc>
          <w:tcPr>
            <w:tcW w:w="40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w:t>
            </w:r>
          </w:p>
        </w:tc>
        <w:tc>
          <w:tcPr>
            <w:tcW w:w="17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w:t>
            </w:r>
          </w:p>
        </w:tc>
        <w:tc>
          <w:tcPr>
            <w:tcW w:w="17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w:t>
            </w:r>
          </w:p>
        </w:tc>
      </w:tr>
      <w:tr w:rsidR="00000000">
        <w:tblPrEx>
          <w:tblCellMar>
            <w:top w:w="0" w:type="dxa"/>
            <w:bottom w:w="0" w:type="dxa"/>
          </w:tblCellMar>
        </w:tblPrEx>
        <w:trPr>
          <w:trHeight w:val="300"/>
        </w:trPr>
        <w:tc>
          <w:tcPr>
            <w:tcW w:w="4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Кожухар Валерiй Олександрович</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3 877</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1,837</w:t>
            </w:r>
          </w:p>
        </w:tc>
        <w:tc>
          <w:tcPr>
            <w:tcW w:w="17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3 877</w:t>
            </w:r>
          </w:p>
        </w:tc>
        <w:tc>
          <w:tcPr>
            <w:tcW w:w="17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300"/>
        </w:trPr>
        <w:tc>
          <w:tcPr>
            <w:tcW w:w="4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Довбенко Олександр Iванович</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405</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0,1919</w:t>
            </w:r>
          </w:p>
        </w:tc>
        <w:tc>
          <w:tcPr>
            <w:tcW w:w="17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405</w:t>
            </w:r>
          </w:p>
        </w:tc>
        <w:tc>
          <w:tcPr>
            <w:tcW w:w="17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300"/>
        </w:trPr>
        <w:tc>
          <w:tcPr>
            <w:tcW w:w="4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Усього</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4 282</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2,0289</w:t>
            </w:r>
          </w:p>
        </w:tc>
        <w:tc>
          <w:tcPr>
            <w:tcW w:w="17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4 282</w:t>
            </w:r>
          </w:p>
        </w:tc>
        <w:tc>
          <w:tcPr>
            <w:tcW w:w="17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Інформація про загальну кількість голосуючих акцій та кількість голосуючих акцій, права голосу за якими обмежено, а також кількість голосуючих акцій, права голосу за якими за результатами обмеження таких прав передано іншій особі</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500"/>
        <w:gridCol w:w="2000"/>
        <w:gridCol w:w="2000"/>
        <w:gridCol w:w="2000"/>
        <w:gridCol w:w="2100"/>
        <w:gridCol w:w="1500"/>
        <w:gridCol w:w="1500"/>
        <w:gridCol w:w="2800"/>
      </w:tblGrid>
      <w:tr w:rsidR="00000000">
        <w:tblPrEx>
          <w:tblCellMar>
            <w:top w:w="0" w:type="dxa"/>
            <w:bottom w:w="0" w:type="dxa"/>
          </w:tblCellMar>
        </w:tblPrEx>
        <w:trPr>
          <w:trHeight w:val="300"/>
        </w:trPr>
        <w:tc>
          <w:tcPr>
            <w:tcW w:w="1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Дата реєстрації випуску</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Но</w:t>
            </w:r>
            <w:r>
              <w:rPr>
                <w:rFonts w:ascii="Times New Roman CYR" w:hAnsi="Times New Roman CYR" w:cs="Times New Roman CYR"/>
              </w:rPr>
              <w:t>мер свідоцтва про реєстрацію випуску</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Міжнародний ідентифікаційний номер</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акцій у випуску, шт.</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Загальна номінальна вартість, грн</w:t>
            </w:r>
          </w:p>
        </w:tc>
        <w:tc>
          <w:tcPr>
            <w:tcW w:w="1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Загальна кількість голосуючих акцій, шт.</w:t>
            </w:r>
          </w:p>
        </w:tc>
        <w:tc>
          <w:tcPr>
            <w:tcW w:w="1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голосуючих акцій, права голосу за якими обмежено, шт.</w:t>
            </w:r>
          </w:p>
        </w:tc>
        <w:tc>
          <w:tcPr>
            <w:tcW w:w="28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голо</w:t>
            </w:r>
            <w:r>
              <w:rPr>
                <w:rFonts w:ascii="Times New Roman CYR" w:hAnsi="Times New Roman CYR" w:cs="Times New Roman CYR"/>
              </w:rPr>
              <w:t>суючих акцій, права голосу за якими за результатами обмеження таких прав передано іншій особі, шт.</w:t>
            </w:r>
          </w:p>
        </w:tc>
      </w:tr>
      <w:tr w:rsidR="00000000">
        <w:tblPrEx>
          <w:tblCellMar>
            <w:top w:w="0" w:type="dxa"/>
            <w:bottom w:w="0" w:type="dxa"/>
          </w:tblCellMar>
        </w:tblPrEx>
        <w:trPr>
          <w:trHeight w:val="300"/>
        </w:trPr>
        <w:tc>
          <w:tcPr>
            <w:tcW w:w="1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20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c>
          <w:tcPr>
            <w:tcW w:w="21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w:t>
            </w:r>
          </w:p>
        </w:tc>
        <w:tc>
          <w:tcPr>
            <w:tcW w:w="1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w:t>
            </w:r>
          </w:p>
        </w:tc>
        <w:tc>
          <w:tcPr>
            <w:tcW w:w="1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w:t>
            </w:r>
          </w:p>
        </w:tc>
        <w:tc>
          <w:tcPr>
            <w:tcW w:w="28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w:t>
            </w:r>
          </w:p>
        </w:tc>
      </w:tr>
      <w:tr w:rsidR="00000000">
        <w:tblPrEx>
          <w:tblCellMar>
            <w:top w:w="0" w:type="dxa"/>
            <w:bottom w:w="0" w:type="dxa"/>
          </w:tblCellMar>
        </w:tblPrEx>
        <w:trPr>
          <w:trHeight w:val="300"/>
        </w:trPr>
        <w:tc>
          <w:tcPr>
            <w:tcW w:w="15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10.09.2010</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86/02/1/10</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UA4000092266</w:t>
            </w:r>
          </w:p>
        </w:tc>
        <w:tc>
          <w:tcPr>
            <w:tcW w:w="20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211 001</w:t>
            </w:r>
          </w:p>
        </w:tc>
        <w:tc>
          <w:tcPr>
            <w:tcW w:w="21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52 750,25</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171 385</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28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300"/>
        </w:trPr>
        <w:tc>
          <w:tcPr>
            <w:tcW w:w="15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Додаткова інформація</w:t>
            </w:r>
          </w:p>
        </w:tc>
        <w:tc>
          <w:tcPr>
            <w:tcW w:w="13900" w:type="dxa"/>
            <w:gridSpan w:val="7"/>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Рішення суду або уповноваженого державного органу, яким накладено обмеження: лист №08/03/18049/НК від 30.09.2014</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Cтрок обмеження: до усунення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Характеристика обмеження: Акцiонери товариства, якi не заключили договору зi зберiгачем на обслуговування рахунку </w:t>
            </w:r>
            <w:r>
              <w:rPr>
                <w:rFonts w:ascii="Times New Roman CYR" w:hAnsi="Times New Roman CYR" w:cs="Times New Roman CYR"/>
              </w:rPr>
              <w:t>власних цiнних паперiв не мають права голосу на загальних зборах Товариства.</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rPr>
        <w:sectPr w:rsidR="00000000">
          <w:pgSz w:w="16837" w:h="11905" w:orient="landscape"/>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lastRenderedPageBreak/>
        <w:t>III. Фінансова інформація</w:t>
      </w: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i/>
          <w:iCs/>
          <w:sz w:val="24"/>
          <w:szCs w:val="24"/>
        </w:rPr>
        <w:t>2. Річна фінансова звітність</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На веб-сайтi особи не розмiщено рiчну </w:t>
      </w:r>
      <w:r>
        <w:rPr>
          <w:rFonts w:ascii="Times New Roman CYR" w:hAnsi="Times New Roman CYR" w:cs="Times New Roman CYR"/>
          <w:sz w:val="24"/>
          <w:szCs w:val="24"/>
        </w:rPr>
        <w:t>фiнансову звiтнiсть особи, тому URL-адреса вебсайту не зазначена.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i/>
          <w:iCs/>
          <w:sz w:val="24"/>
          <w:szCs w:val="24"/>
        </w:rPr>
        <w:t>4. Твердження щодо річної інформації</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Твердження щодо рiчної iнформацiї, а саме - офiцiйна позицiя осiб, якi здiйснюють управлiнськi функцiї та пiдписують рiчну iнформацiю емiтента (п.13 ч.3</w:t>
      </w:r>
      <w:r>
        <w:rPr>
          <w:rFonts w:ascii="Times New Roman CYR" w:hAnsi="Times New Roman CYR" w:cs="Times New Roman CYR"/>
          <w:sz w:val="24"/>
          <w:szCs w:val="24"/>
        </w:rPr>
        <w:t xml:space="preserve"> ст. 40 Закону України  "Про цiннi папери та фондовий ринок").</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Керiвництво АТ "Ямпiльский приладобудiвний завод" вiд iменi осiб, що здiйснюють управлiнськi функцiї та пiдписують рiчну iнформацiю емiтента, заявляє, що наскiльки це вiдповiдальним особам вiд</w:t>
      </w:r>
      <w:r>
        <w:rPr>
          <w:rFonts w:ascii="Times New Roman CYR" w:hAnsi="Times New Roman CYR" w:cs="Times New Roman CYR"/>
          <w:sz w:val="24"/>
          <w:szCs w:val="24"/>
        </w:rPr>
        <w:t>омо, рiчна фiнансова звiтнiсть, пiдготовлена вiдповiдно до Нацiональних стандартiв бухгалтерського облiку, що вимагаються згiдно iз Законом України "Про бухгалтерський облiк та фiнансову звiтнiсть в Українi", мiстить достовiрне та об'єктивне подання iнформ</w:t>
      </w:r>
      <w:r>
        <w:rPr>
          <w:rFonts w:ascii="Times New Roman CYR" w:hAnsi="Times New Roman CYR" w:cs="Times New Roman CYR"/>
          <w:sz w:val="24"/>
          <w:szCs w:val="24"/>
        </w:rPr>
        <w:t>ацiї про стан активiв, пасивiв, фiнансовий стан, прибутки та збитки емiтента. Звiт керiвництва включає достовiрне та об'єктивне подання iнформацiї про розвиток i здiйснення господарської дiяльностi i стан емiтента разом з описом основних ризикiв та невизна</w:t>
      </w:r>
      <w:r>
        <w:rPr>
          <w:rFonts w:ascii="Times New Roman CYR" w:hAnsi="Times New Roman CYR" w:cs="Times New Roman CYR"/>
          <w:sz w:val="24"/>
          <w:szCs w:val="24"/>
        </w:rPr>
        <w:t>ченостей, з якими вони стикаються у своїй господарськiй дiяльностi. Вiд iменi керiвництва - Голова правлiння Кожуар Валерiй Олександрович.</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IV. Нефінансова інформація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i/>
          <w:iCs/>
          <w:sz w:val="24"/>
          <w:szCs w:val="24"/>
        </w:rPr>
        <w:t>1. Звіт керівництва (звіт про управління)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 Звернення до акціонерів/учасників та інших с</w:t>
      </w:r>
      <w:r>
        <w:rPr>
          <w:rFonts w:ascii="Times New Roman CYR" w:hAnsi="Times New Roman CYR" w:cs="Times New Roman CYR"/>
          <w:sz w:val="24"/>
          <w:szCs w:val="24"/>
        </w:rPr>
        <w:t>тейкхолдерів від голови ради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Шановнi акцiонери! До вашоi уваги пропонується звiт АТ "Ямпiльський приладобудiвний завод", яке здiйснює свою дiяльнiсть вiдповiдно до вимог чинного законодавства України, нормативно-правових актiв Нацiональної комiсiї з </w:t>
      </w:r>
      <w:r>
        <w:rPr>
          <w:rFonts w:ascii="Times New Roman CYR" w:hAnsi="Times New Roman CYR" w:cs="Times New Roman CYR"/>
          <w:sz w:val="24"/>
          <w:szCs w:val="24"/>
        </w:rPr>
        <w:t>цiнних паперiв та фондового ринку, Статуту та внутрiшнiх документiв Товариства. Товариство несе вiдповiдальнiсть не лише перед акцiонерами, а й перед iншими зацiкавленими сторонами - працiвниками, замовниками, державою, тощо. З повагою голова Наглядової ра</w:t>
      </w:r>
      <w:r>
        <w:rPr>
          <w:rFonts w:ascii="Times New Roman CYR" w:hAnsi="Times New Roman CYR" w:cs="Times New Roman CYR"/>
          <w:sz w:val="24"/>
          <w:szCs w:val="24"/>
        </w:rPr>
        <w:t>ди Патлатюк Петро Миколайович.</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Звернення до акціонерів/учасників та інших стейкхолдерів від керівника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Шановнi акцiонери! До вашої уваги пропонується звiт АТ "Ямпiльський приладобудiвний завод". Звiт керiвництва мiстить достовiрну та об'єктивну iнформацiю про стан, розвиток i здiйснення господарської дiяльностi товариства з описом основних ризикiв та невизн</w:t>
      </w:r>
      <w:r>
        <w:rPr>
          <w:rFonts w:ascii="Times New Roman CYR" w:hAnsi="Times New Roman CYR" w:cs="Times New Roman CYR"/>
          <w:sz w:val="24"/>
          <w:szCs w:val="24"/>
        </w:rPr>
        <w:t>аченостей, з якими стикнулось товариство у процесi господарської дiяльностi. З повагою голова Правлiння КОЖУХАР ВАЛЕРIЙ ОЛЕКСАНДРОВИЧ.</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 Інформація про розвиток та вірогідні перспективи подальшого розвитку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Основний вид дiяльностi за КВЕД: 26.51 Вир</w:t>
      </w:r>
      <w:r>
        <w:rPr>
          <w:rFonts w:ascii="Times New Roman CYR" w:hAnsi="Times New Roman CYR" w:cs="Times New Roman CYR"/>
          <w:sz w:val="24"/>
          <w:szCs w:val="24"/>
        </w:rPr>
        <w:t>обництво iнструментiв i обладнання для вимiрювання, дослiдження та навiгацiї, виробництво устаткування для сiльського господарства. Економiчне середовище, в якому Товариство проводить свою дiяльнiсть, є нестабiльним, що пов'язано з полiтичною та економiчно</w:t>
      </w:r>
      <w:r>
        <w:rPr>
          <w:rFonts w:ascii="Times New Roman CYR" w:hAnsi="Times New Roman CYR" w:cs="Times New Roman CYR"/>
          <w:sz w:val="24"/>
          <w:szCs w:val="24"/>
        </w:rPr>
        <w:t>ю кризою в країнi в цiлому. Протягом звiтного перiоду створення нових дочiрнiх пiдприємств емiтента та набуття пiдприємством статусу залежного вiд емiтента не вiдбувалось. Протягом звiтного перiоду Товариство не входило до складу (не ставало учасником) гос</w:t>
      </w:r>
      <w:r>
        <w:rPr>
          <w:rFonts w:ascii="Times New Roman CYR" w:hAnsi="Times New Roman CYR" w:cs="Times New Roman CYR"/>
          <w:sz w:val="24"/>
          <w:szCs w:val="24"/>
        </w:rPr>
        <w:t>подарських органiзацiй. Значного розвитку емiтента в звiтному роцi не було. В умовах вiйни прогнозувати перспективи розвитку важко. У 2025 роцi планується розширення вузьких мiсць на виробництвi.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 Інформація про укладення деривативних контрактів або вчи</w:t>
      </w:r>
      <w:r>
        <w:rPr>
          <w:rFonts w:ascii="Times New Roman CYR" w:hAnsi="Times New Roman CYR" w:cs="Times New Roman CYR"/>
          <w:sz w:val="24"/>
          <w:szCs w:val="24"/>
        </w:rPr>
        <w:t>нення правочинів щодо деривативних цінних паперів емітентом (крім укладених / вчинених особою, яка провадить клірингову діяльність центрального контрагента, у межах провадження нею клірингової діяльності центрального контрагента), якщо це впливає на оцінку</w:t>
      </w:r>
      <w:r>
        <w:rPr>
          <w:rFonts w:ascii="Times New Roman CYR" w:hAnsi="Times New Roman CYR" w:cs="Times New Roman CYR"/>
          <w:sz w:val="24"/>
          <w:szCs w:val="24"/>
        </w:rPr>
        <w:t xml:space="preserve"> його активів, зобов'язань, фінансового стану і доходів або витрат</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 протязi звiтного перiоду деривативи не укладалися, правочини щодо похiдних цiнних паперiв не укладалися.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1) Завдання та політика особи щодо управління фінансовими ризиками, у тому числі</w:t>
      </w:r>
      <w:r>
        <w:rPr>
          <w:rFonts w:ascii="Times New Roman CYR" w:hAnsi="Times New Roman CYR" w:cs="Times New Roman CYR"/>
          <w:sz w:val="24"/>
          <w:szCs w:val="24"/>
        </w:rPr>
        <w:t xml:space="preserve"> політика щодо страхування кожного основного виду прогнозованої операції, для якої використовуються операції хеджування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Завдання та полiтика емiтента щодо управлiння фiнансовими ризиками, у тому числi полiтику щодо страхування кожного основного виду прогно</w:t>
      </w:r>
      <w:r>
        <w:rPr>
          <w:rFonts w:ascii="Times New Roman CYR" w:hAnsi="Times New Roman CYR" w:cs="Times New Roman CYR"/>
          <w:sz w:val="24"/>
          <w:szCs w:val="24"/>
        </w:rPr>
        <w:t>зованої операцiї, для якої використовуються операцiї хеджування.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Основна мета управлiння фiнансовими ризиками - мiнiмiзацiя пов'язаних з ними фiнансових втрат. Головними завданнями управлiння фiнансовими ризиками є оптимiзацiя структури капiталу (спiввiдно</w:t>
      </w:r>
      <w:r>
        <w:rPr>
          <w:rFonts w:ascii="Times New Roman CYR" w:hAnsi="Times New Roman CYR" w:cs="Times New Roman CYR"/>
          <w:sz w:val="24"/>
          <w:szCs w:val="24"/>
        </w:rPr>
        <w:t>шення мiж власними та позичковими джерелами формування фiнансових ресурсiв) та оптимiзацiя портфеля боргових зобов'язань. Полiтика емiтента щодо управлiння фiнансовими ризиками - система цiлей i завдань управлiння ризиками, а також сукупнiсть методiв i зас</w:t>
      </w:r>
      <w:r>
        <w:rPr>
          <w:rFonts w:ascii="Times New Roman CYR" w:hAnsi="Times New Roman CYR" w:cs="Times New Roman CYR"/>
          <w:sz w:val="24"/>
          <w:szCs w:val="24"/>
        </w:rPr>
        <w:t>обiв досягнення цих цiлей. Полiтика управлiння фiнансовими ризиками знаходить своє вiдображення у стратегiї i тактицi виявлення та нейтралiзацiї ризикiв. Емiтентом не використовується метод страхування цiнового ризику за угодами на бiржi (товарнiй, фондовi</w:t>
      </w:r>
      <w:r>
        <w:rPr>
          <w:rFonts w:ascii="Times New Roman CYR" w:hAnsi="Times New Roman CYR" w:cs="Times New Roman CYR"/>
          <w:sz w:val="24"/>
          <w:szCs w:val="24"/>
        </w:rPr>
        <w:t xml:space="preserve">й) - операцiї хеджування.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Схильність особи до цінових ризиків, кредитного ризику, ризику ліквідності та/або ризику грошових потоків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схильнiсть емiтента до цiнових ризикiв: емiтент не має схильнiсть до цiнових ризикiв;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схильнiсть емiтента до  кредитног</w:t>
      </w:r>
      <w:r>
        <w:rPr>
          <w:rFonts w:ascii="Times New Roman CYR" w:hAnsi="Times New Roman CYR" w:cs="Times New Roman CYR"/>
          <w:sz w:val="24"/>
          <w:szCs w:val="24"/>
        </w:rPr>
        <w:t>о ризику: емiтент не має схильностi до кредитного ризику (емiтент не має кредитних зобов'язань);</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схильнiсть емiтента до ризику лiквiдностi та/або ризику грошових потокiв: емiтент має схильностi до ризику лiквiдностi/та або ризику грошових потокiв.</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000"/>
        <w:gridCol w:w="1500"/>
        <w:gridCol w:w="4500"/>
      </w:tblGrid>
      <w:tr w:rsidR="00000000">
        <w:tblPrEx>
          <w:tblCellMar>
            <w:top w:w="0" w:type="dxa"/>
            <w:bottom w:w="0" w:type="dxa"/>
          </w:tblCellMar>
        </w:tblPrEx>
        <w:trPr>
          <w:trHeight w:val="200"/>
        </w:trPr>
        <w:tc>
          <w:tcPr>
            <w:tcW w:w="10000" w:type="dxa"/>
            <w:gridSpan w:val="3"/>
            <w:tcBorders>
              <w:top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6. Вин</w:t>
            </w:r>
            <w:r>
              <w:rPr>
                <w:rFonts w:ascii="Times New Roman CYR" w:hAnsi="Times New Roman CYR" w:cs="Times New Roman CYR"/>
                <w:b/>
                <w:bCs/>
                <w:sz w:val="24"/>
                <w:szCs w:val="24"/>
              </w:rPr>
              <w:t>агорода</w:t>
            </w:r>
          </w:p>
        </w:tc>
      </w:tr>
      <w:tr w:rsidR="00000000">
        <w:tblPrEx>
          <w:tblCellMar>
            <w:top w:w="0" w:type="dxa"/>
            <w:bottom w:w="0" w:type="dxa"/>
          </w:tblCellMar>
        </w:tblPrEx>
        <w:trPr>
          <w:trHeight w:val="200"/>
        </w:trPr>
        <w:tc>
          <w:tcPr>
            <w:tcW w:w="4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Винагорода членів ради і виконавчого органу визначена на підставі та відповідає ринковим показникам у галузі для такого виду особи</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45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Члени ради та виконавчого органу не отримують винагороду.</w:t>
            </w:r>
          </w:p>
        </w:tc>
      </w:tr>
      <w:tr w:rsidR="00000000">
        <w:tblPrEx>
          <w:tblCellMar>
            <w:top w:w="0" w:type="dxa"/>
            <w:bottom w:w="0" w:type="dxa"/>
          </w:tblCellMar>
        </w:tblPrEx>
        <w:trPr>
          <w:trHeight w:val="200"/>
        </w:trPr>
        <w:tc>
          <w:tcPr>
            <w:tcW w:w="4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Розмір винагороди для виконавчого органу пов'язаний з результатами діяльності особи</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ні</w:t>
            </w:r>
          </w:p>
        </w:tc>
        <w:tc>
          <w:tcPr>
            <w:tcW w:w="45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Члени ради та виконавчого органу не отримують винагороду.</w:t>
            </w:r>
          </w:p>
        </w:tc>
      </w:tr>
      <w:tr w:rsidR="00000000">
        <w:tblPrEx>
          <w:tblCellMar>
            <w:top w:w="0" w:type="dxa"/>
            <w:bottom w:w="0" w:type="dxa"/>
          </w:tblCellMar>
        </w:tblPrEx>
        <w:trPr>
          <w:trHeight w:val="200"/>
        </w:trPr>
        <w:tc>
          <w:tcPr>
            <w:tcW w:w="4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Винагорода членів ради (невиконавчих директорів) є фіксованою та не залежить від досягнення особою фінансових показників</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так</w:t>
            </w:r>
          </w:p>
        </w:tc>
        <w:tc>
          <w:tcPr>
            <w:tcW w:w="45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Патлатюк Петро Миколайович щомiсячно отримує винагороду у сумi 3333 грн. за виконання обов"язкiв голови Наглядової ради </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Частина 2</w:t>
      </w:r>
      <w:r>
        <w:rPr>
          <w:rFonts w:ascii="Times New Roman CYR" w:hAnsi="Times New Roman CYR" w:cs="Times New Roman CYR"/>
          <w:b/>
          <w:bCs/>
          <w:sz w:val="24"/>
          <w:szCs w:val="24"/>
        </w:rPr>
        <w:t>. Інформація про загальні збори акціонерів (учасників) та загальний опис прийнятих на таких зборах рішень: 1 (1)</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000"/>
        <w:gridCol w:w="7000"/>
      </w:tblGrid>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Дата проведення</w:t>
            </w:r>
          </w:p>
        </w:tc>
        <w:tc>
          <w:tcPr>
            <w:tcW w:w="7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25.04.2024</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Спосіб проведення</w:t>
            </w:r>
          </w:p>
        </w:tc>
        <w:tc>
          <w:tcPr>
            <w:tcW w:w="7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очне голосування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ab/>
              <w:t>електронне голосування</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X</w:t>
            </w:r>
            <w:r>
              <w:rPr>
                <w:rFonts w:ascii="Times New Roman CYR" w:hAnsi="Times New Roman CYR" w:cs="Times New Roman CYR"/>
                <w:sz w:val="24"/>
                <w:szCs w:val="24"/>
              </w:rPr>
              <w:tab/>
              <w:t>опитування (дистанційно)</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Суб'єкт скликання</w:t>
            </w:r>
          </w:p>
        </w:tc>
        <w:tc>
          <w:tcPr>
            <w:tcW w:w="7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Наглядова рада</w:t>
            </w:r>
          </w:p>
        </w:tc>
      </w:tr>
      <w:tr w:rsidR="00000000">
        <w:tblPrEx>
          <w:tblCellMar>
            <w:top w:w="0" w:type="dxa"/>
            <w:bottom w:w="0" w:type="dxa"/>
          </w:tblCellMar>
        </w:tblPrEx>
        <w:trPr>
          <w:trHeight w:val="200"/>
        </w:trPr>
        <w:tc>
          <w:tcPr>
            <w:tcW w:w="10000" w:type="dxa"/>
            <w:gridSpan w:val="2"/>
            <w:tcBorders>
              <w:top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Питання порядку денного та прийняті рішення:</w:t>
            </w:r>
          </w:p>
        </w:tc>
      </w:tr>
      <w:tr w:rsidR="00000000">
        <w:tblPrEx>
          <w:tblCellMar>
            <w:top w:w="0" w:type="dxa"/>
            <w:bottom w:w="0" w:type="dxa"/>
          </w:tblCellMar>
        </w:tblPrEx>
        <w:trPr>
          <w:trHeight w:val="200"/>
        </w:trPr>
        <w:tc>
          <w:tcPr>
            <w:tcW w:w="10000" w:type="dxa"/>
            <w:gridSpan w:val="2"/>
            <w:tcBorders>
              <w:top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1:Затвердження регламенту проведення рiчних загальних зборiв Товариства.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 Голосування з питань Порядку денного проводиться з використанням бюлетенiв для голосування, за принципом "одна голосуюча акцiя - один голос" (крiм кумулятивного голосування). Бюлетенi для голосування засвiдчуються пiсля їх отримання лiчил</w:t>
            </w:r>
            <w:r>
              <w:rPr>
                <w:rFonts w:ascii="Times New Roman CYR" w:hAnsi="Times New Roman CYR" w:cs="Times New Roman CYR"/>
                <w:sz w:val="24"/>
                <w:szCs w:val="24"/>
              </w:rPr>
              <w:t xml:space="preserve">ьною комiсiєю шляхом пiдписання Головою лiчильної комiсiї. У разi визнання лiчильною комiсiєю бюлетеня недiйсним, на ньому зазначається вiдповiдна пiдстава визнання </w:t>
            </w:r>
            <w:r>
              <w:rPr>
                <w:rFonts w:ascii="Times New Roman CYR" w:hAnsi="Times New Roman CYR" w:cs="Times New Roman CYR"/>
                <w:sz w:val="24"/>
                <w:szCs w:val="24"/>
              </w:rPr>
              <w:lastRenderedPageBreak/>
              <w:t>його недiйсним та засвiдчується вiн шляхом пiдписання Головою та членами лiчильної комiсiї.</w:t>
            </w:r>
            <w:r>
              <w:rPr>
                <w:rFonts w:ascii="Times New Roman CYR" w:hAnsi="Times New Roman CYR" w:cs="Times New Roman CYR"/>
                <w:sz w:val="24"/>
                <w:szCs w:val="24"/>
              </w:rPr>
              <w:t xml:space="preserve"> Рiшення загальних зборiв з питань, винесених на голосування, приймаються простою бiльшiстю голосiв акцiонерiв, якi зареєструвалися для участi у рiчних загальних зборах та є власниками голосуючих акцiй (по 8, 9 питаннях Порядку денного рiшення приймається </w:t>
            </w:r>
            <w:r>
              <w:rPr>
                <w:rFonts w:ascii="Times New Roman CYR" w:hAnsi="Times New Roman CYR" w:cs="Times New Roman CYR"/>
                <w:sz w:val="24"/>
                <w:szCs w:val="24"/>
              </w:rPr>
              <w:t>бiльш як 50 вiдсотками голосiв акцiонерiв вiд їх загальної кiлькостi (ст. 106 Закону України "Про акцiонернi товариства"), по 13 питанню порядку денного приймається бiльш як трьома чвертями голосiв акцiонерiв, якi зареєструвалися для участi у загальних збо</w:t>
            </w:r>
            <w:r>
              <w:rPr>
                <w:rFonts w:ascii="Times New Roman CYR" w:hAnsi="Times New Roman CYR" w:cs="Times New Roman CYR"/>
                <w:sz w:val="24"/>
                <w:szCs w:val="24"/>
              </w:rPr>
              <w:t>рах та є власниками голосуючих акцiй (ст.53 Закону України "Про акцiонернi товариства")).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2: Звiт Голови правлiння про результати фiнансово-господарської дiяльностi Товариства за 2023 рiк та визначення основних напрямкiв дiяльностi Товариства на 20</w:t>
            </w:r>
            <w:r>
              <w:rPr>
                <w:rFonts w:ascii="Times New Roman CYR" w:hAnsi="Times New Roman CYR" w:cs="Times New Roman CYR"/>
                <w:sz w:val="24"/>
                <w:szCs w:val="24"/>
              </w:rPr>
              <w:t>24 рiк, прийняття рiшення за наслiдками розгляду звiту.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 Затвердити звiт Голови правлiння Товариства про результати фiнансово-господарської дiяльностi Товариства за 2023 рiк та основнi напрямки дiяльностi Товариства на 2024 рiк.</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3:</w:t>
            </w:r>
            <w:r>
              <w:rPr>
                <w:rFonts w:ascii="Times New Roman CYR" w:hAnsi="Times New Roman CYR" w:cs="Times New Roman CYR"/>
                <w:sz w:val="24"/>
                <w:szCs w:val="24"/>
              </w:rPr>
              <w:t xml:space="preserve"> Звiт Наглядової Ради Товариства за 2023 рiк, прийняття рiшення за наслiдками розгляду звiту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РIШЕННЯ:Затвердити звiт Наглядової ради Товариства за 2023 рiк.</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4: Звiт та висновки Ревiзiйної комiсiї Товариства за 2023 рiк, прийняття рiшення з</w:t>
            </w:r>
            <w:r>
              <w:rPr>
                <w:rFonts w:ascii="Times New Roman CYR" w:hAnsi="Times New Roman CYR" w:cs="Times New Roman CYR"/>
                <w:sz w:val="24"/>
                <w:szCs w:val="24"/>
              </w:rPr>
              <w:t>а наслiдками розгляду звiту.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РIШЕННЯ:Затвердити Звiт та висновки Ревiзiйної комiсiї Товариства за 2023 рiк.</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5: Затвердження рiчного звiту та балансу Товариства за 2023 рiк.</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РIШЕННЯ:Затвердити рiчний звiт (малого пiдприємства) Това</w:t>
            </w:r>
            <w:r>
              <w:rPr>
                <w:rFonts w:ascii="Times New Roman CYR" w:hAnsi="Times New Roman CYR" w:cs="Times New Roman CYR"/>
                <w:sz w:val="24"/>
                <w:szCs w:val="24"/>
              </w:rPr>
              <w:t>риства за 2023 рiк, а саме: баланс Товариства станом на 31.12.2023р. (Форма №1), звiт про фiнансовi результати за 2023 рiк (Форма №2)</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6: Затвердження порядку розподiлу прибутку (покриття збиткiв) Товариства за 2023 рiк.</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РIШЕННЯ:Покрити зби</w:t>
            </w:r>
            <w:r>
              <w:rPr>
                <w:rFonts w:ascii="Times New Roman CYR" w:hAnsi="Times New Roman CYR" w:cs="Times New Roman CYR"/>
                <w:sz w:val="24"/>
                <w:szCs w:val="24"/>
              </w:rPr>
              <w:t>ток Товариства за рахунок чистого прибутку, який планується отримати за результатами фiнансово-господарської дiяльностi Товариства за 2024 рiк.</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7: Про виплату дивiдендiв.</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РIШЕННЯ:Дивiденди за результатами фiнансово-господарської дiяльностi</w:t>
            </w:r>
            <w:r>
              <w:rPr>
                <w:rFonts w:ascii="Times New Roman CYR" w:hAnsi="Times New Roman CYR" w:cs="Times New Roman CYR"/>
                <w:sz w:val="24"/>
                <w:szCs w:val="24"/>
              </w:rPr>
              <w:t xml:space="preserve"> Товариства за 2023 рiк не виплачувати.</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8: Схвалення та надання згоди на укладенi Товариством значнi правочини.</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РIШЕННЯ:Схвалити та надати згоду на укладенi Товариством значнi правочини у перiод з 23.04.2023 р. по 22.04.2024 р.</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ПИТАННЯ 9: </w:t>
            </w:r>
            <w:r>
              <w:rPr>
                <w:rFonts w:ascii="Times New Roman CYR" w:hAnsi="Times New Roman CYR" w:cs="Times New Roman CYR"/>
                <w:sz w:val="24"/>
                <w:szCs w:val="24"/>
              </w:rPr>
              <w:t>Про попереднє надання згоди на вчинення значних правочинiв.</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РIШЕННЯ:Попередньо надати згоду Товариству на укладення значних правочинiв (кредитних угод, договорiв застави/iпотеки, поставки, комiсiї, безвiдсоткової поворотної фiнансової допомоги, ку</w:t>
            </w:r>
            <w:r>
              <w:rPr>
                <w:rFonts w:ascii="Times New Roman CYR" w:hAnsi="Times New Roman CYR" w:cs="Times New Roman CYR"/>
                <w:sz w:val="24"/>
                <w:szCs w:val="24"/>
              </w:rPr>
              <w:t>пiвлi-продажу, оренди, поруки, зберiгання тощо та вiдповiдних додаткових угод до таких договорiв), якi будуть укладенi Товариством протягом року з моменту проведення цих рiчних загальних зборiв Товариства, на суму не бiльше як 50,0% вартостi активiв за дан</w:t>
            </w:r>
            <w:r>
              <w:rPr>
                <w:rFonts w:ascii="Times New Roman CYR" w:hAnsi="Times New Roman CYR" w:cs="Times New Roman CYR"/>
                <w:sz w:val="24"/>
                <w:szCs w:val="24"/>
              </w:rPr>
              <w:t>ими рiчної звiтностi за 2023 рiк за умови надання попередньої згоди на їх укладення Наглядовою Радою Товариства. Уповноважити на пiдписання значних правочинiв вiд iменi Товариства Голову правлiння Товариства або уповноважену особу, що дiє на пiдставi нотар</w:t>
            </w:r>
            <w:r>
              <w:rPr>
                <w:rFonts w:ascii="Times New Roman CYR" w:hAnsi="Times New Roman CYR" w:cs="Times New Roman CYR"/>
                <w:sz w:val="24"/>
                <w:szCs w:val="24"/>
              </w:rPr>
              <w:t>iально посвiдченої довiреностi та визначена рiшенням Наглядової Ради Товариства щодо надання попередньої згоди на укладення вiдповiдних договорiв.</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10: Припинення повноважень Голови та членiв Наглядової ради Товариства.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РIШЕННЯ:Припинити по</w:t>
            </w:r>
            <w:r>
              <w:rPr>
                <w:rFonts w:ascii="Times New Roman CYR" w:hAnsi="Times New Roman CYR" w:cs="Times New Roman CYR"/>
                <w:sz w:val="24"/>
                <w:szCs w:val="24"/>
              </w:rPr>
              <w:t>вноваження голови та членiв Наглядової ради: Голова Наглядової ради - Патлатюк Петро Миколайович, Член наглядової ради - Грiшкiна Надiя Єгорiвна, Член наглядової ради - Мiрчев Петро Степанович, Член наглядової ради - Чефранов Iгор Євгенович, Член наглядово</w:t>
            </w:r>
            <w:r>
              <w:rPr>
                <w:rFonts w:ascii="Times New Roman CYR" w:hAnsi="Times New Roman CYR" w:cs="Times New Roman CYR"/>
                <w:sz w:val="24"/>
                <w:szCs w:val="24"/>
              </w:rPr>
              <w:t>ї ради - Кошельова Тетяна Олександрiвна.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11:Обрання членiв Наглядової ради Товариства.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ПРИЙНЯТЕ РIШЕННЯ:Обрати Наглядову раду товариства у складi: Патлатюк Петро </w:t>
            </w:r>
            <w:r>
              <w:rPr>
                <w:rFonts w:ascii="Times New Roman CYR" w:hAnsi="Times New Roman CYR" w:cs="Times New Roman CYR"/>
                <w:sz w:val="24"/>
                <w:szCs w:val="24"/>
              </w:rPr>
              <w:lastRenderedPageBreak/>
              <w:t>Миколайович, Грiшкiна Надiя Єгорiвна, Мiрчев Петро Степанович, Чефранов Iгор Євгенович,  Кошельова Тетяна Олександрiвна.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12: Припинення повноважень Голови та членiв Ревiзiйн</w:t>
            </w:r>
            <w:r>
              <w:rPr>
                <w:rFonts w:ascii="Times New Roman CYR" w:hAnsi="Times New Roman CYR" w:cs="Times New Roman CYR"/>
                <w:sz w:val="24"/>
                <w:szCs w:val="24"/>
              </w:rPr>
              <w:t>ої комiсiї.</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РIШЕННЯ:Припинити повноваження голови та членiв Ревiзiйної комiсiї: Голова ревiзiйної комiсiї - Жираєва Людмила Вячеславiвна, Член ревiзiйної комiсiї - Шатохiна Галина Спирiдонiвна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 xml:space="preserve">ПИТАННЯ 13:Внесення та затвердження змiн та доповнень </w:t>
            </w:r>
            <w:r>
              <w:rPr>
                <w:rFonts w:ascii="Times New Roman CYR" w:hAnsi="Times New Roman CYR" w:cs="Times New Roman CYR"/>
                <w:sz w:val="24"/>
                <w:szCs w:val="24"/>
              </w:rPr>
              <w:t>до статуту Товариства шляхом викладення його в новiй редакцiї. Надання повноважень , щодо пiдпису нової редакцiї статуту та її державної реєстрацiї.</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РIШЕННЯ:Внести та затвердити змiни та доповнення до статуту Товариства шляхом викладення його в но</w:t>
            </w:r>
            <w:r>
              <w:rPr>
                <w:rFonts w:ascii="Times New Roman CYR" w:hAnsi="Times New Roman CYR" w:cs="Times New Roman CYR"/>
                <w:sz w:val="24"/>
                <w:szCs w:val="24"/>
              </w:rPr>
              <w:t>вiй редакцiї. Надати повноваження Головi правлiння Товариства пiдписати нову редакцiю Статуту Товариства та здiйснити всi необхiднi дiї для державної реєстрацiї нової редакцiї Статуту з правом видачi вiдповiдних довiреностей</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ПИТАННЯ 14:Внесення та затвердж</w:t>
            </w:r>
            <w:r>
              <w:rPr>
                <w:rFonts w:ascii="Times New Roman CYR" w:hAnsi="Times New Roman CYR" w:cs="Times New Roman CYR"/>
                <w:sz w:val="24"/>
                <w:szCs w:val="24"/>
              </w:rPr>
              <w:t>ення змiн та доповнень до внутрiшнiх положень товариства шляхом викладення їх в новiй редакцiї. Надання повноважень, щодо пiдпису нової редакцiї внутрiшнiх положень.</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ПРИЙНЯТЕ РIШЕННЯ:Внести та затвердити змiни та доповнення до внутрiшнiх положень товариств</w:t>
            </w:r>
            <w:r>
              <w:rPr>
                <w:rFonts w:ascii="Times New Roman CYR" w:hAnsi="Times New Roman CYR" w:cs="Times New Roman CYR"/>
                <w:sz w:val="24"/>
                <w:szCs w:val="24"/>
              </w:rPr>
              <w:t>а шляхом викладення їх в новiй редакцiї. Надати повноваження Головi правлiння пiдписати новi редакцiї внутрiшнiх положень Товариства.</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lastRenderedPageBreak/>
              <w:t>URL-адреса протоколу загальних зборів:</w:t>
            </w:r>
          </w:p>
        </w:tc>
        <w:tc>
          <w:tcPr>
            <w:tcW w:w="7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https://jampprilad.pat.ua/documents/protokoli-zboriv?doc=104285</w:t>
            </w:r>
          </w:p>
        </w:tc>
      </w:tr>
    </w:tbl>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Частина 4. Рада</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Персональний склад ради та її комітетів</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000"/>
        <w:gridCol w:w="1150"/>
        <w:gridCol w:w="1150"/>
        <w:gridCol w:w="1150"/>
        <w:gridCol w:w="1150"/>
        <w:gridCol w:w="1150"/>
        <w:gridCol w:w="1250"/>
      </w:tblGrid>
      <w:tr w:rsidR="00000000">
        <w:tblPrEx>
          <w:tblCellMar>
            <w:top w:w="0" w:type="dxa"/>
            <w:bottom w:w="0" w:type="dxa"/>
          </w:tblCellMar>
        </w:tblPrEx>
        <w:trPr>
          <w:trHeight w:val="200"/>
        </w:trPr>
        <w:tc>
          <w:tcPr>
            <w:tcW w:w="3000" w:type="dxa"/>
            <w:vMerge w:val="restart"/>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Ім'я члена ради, строк повноважень у звітному періоді</w:t>
            </w:r>
          </w:p>
        </w:tc>
        <w:tc>
          <w:tcPr>
            <w:tcW w:w="115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РНОКПП</w:t>
            </w:r>
          </w:p>
        </w:tc>
        <w:tc>
          <w:tcPr>
            <w:tcW w:w="115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УНЗР</w:t>
            </w:r>
          </w:p>
        </w:tc>
        <w:tc>
          <w:tcPr>
            <w:tcW w:w="115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Голова/ заступник голови ради</w:t>
            </w:r>
          </w:p>
        </w:tc>
        <w:tc>
          <w:tcPr>
            <w:tcW w:w="3550" w:type="dxa"/>
            <w:gridSpan w:val="3"/>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ab/>
              <w:t>Голова / член комітету ради</w:t>
            </w:r>
          </w:p>
        </w:tc>
      </w:tr>
      <w:tr w:rsidR="00000000">
        <w:tblPrEx>
          <w:tblCellMar>
            <w:top w:w="0" w:type="dxa"/>
            <w:bottom w:w="0" w:type="dxa"/>
          </w:tblCellMar>
        </w:tblPrEx>
        <w:trPr>
          <w:trHeight w:val="200"/>
        </w:trPr>
        <w:tc>
          <w:tcPr>
            <w:tcW w:w="3000" w:type="dxa"/>
            <w:vMerge/>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Назва комітету - 1</w:t>
            </w:r>
          </w:p>
        </w:tc>
        <w:tc>
          <w:tcPr>
            <w:tcW w:w="11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Назва комітету - 2</w:t>
            </w:r>
          </w:p>
        </w:tc>
        <w:tc>
          <w:tcPr>
            <w:tcW w:w="12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Назва комітету - 3</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Патлатюк Петро Миколайович (01.01.2024 - 31.12.2024 р.р.)</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Кошельова Тетяна Олександрiвна</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Чефранов Iгор Євгенович</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Y</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Грiшкiна Надiя Єгорiвна</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Мiрчев Петро Степанович</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Інформація про проведені засідання ради та загальний опис прийнятих рішень</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000"/>
        <w:gridCol w:w="8000"/>
      </w:tblGrid>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Кількість засідань ради у звітному періоді:</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9</w:t>
            </w:r>
          </w:p>
        </w:tc>
      </w:tr>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 них очних:</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9</w:t>
            </w:r>
          </w:p>
        </w:tc>
      </w:tr>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 них заочних:</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0</w:t>
            </w:r>
          </w:p>
        </w:tc>
      </w:tr>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 ключових рішень ради:</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14.03.2024 р. РIШЕННЯ: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Питання №1.</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w:t>
            </w:r>
            <w:r>
              <w:rPr>
                <w:rFonts w:ascii="Times New Roman CYR" w:hAnsi="Times New Roman CYR" w:cs="Times New Roman CYR"/>
              </w:rPr>
              <w:tab/>
              <w:t>Скликати рiчнi загальнi збори Товариства 25 квiтня 2024 року, шляхом дистанцiйного їх проведення, в порядку та у вiдповiдностi до вимог Закону України "Про акцiонернi товариства" та Рiшення Нацiональної комiсiї з цiнних паперiв та фондового ринку №154 в</w:t>
            </w:r>
            <w:r>
              <w:rPr>
                <w:rFonts w:ascii="Times New Roman CYR" w:hAnsi="Times New Roman CYR" w:cs="Times New Roman CYR"/>
              </w:rPr>
              <w:t>iд 16.02.2023 р. (iз змiнами), Рiшення Нацiональної комiсiї з цiнних паперiв та фондового ринку № 240 вiд 06.03.2023 р., Рiшення Нацiональної комiсiї з цiнних паперiв та фондового ринку №596 вiд 02.06.2023 р..</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w:t>
            </w:r>
            <w:r>
              <w:rPr>
                <w:rFonts w:ascii="Times New Roman CYR" w:hAnsi="Times New Roman CYR" w:cs="Times New Roman CYR"/>
              </w:rPr>
              <w:tab/>
              <w:t>Доручити Головi правлiння Товариства Кожуха</w:t>
            </w:r>
            <w:r>
              <w:rPr>
                <w:rFonts w:ascii="Times New Roman CYR" w:hAnsi="Times New Roman CYR" w:cs="Times New Roman CYR"/>
              </w:rPr>
              <w:t xml:space="preserve">рю Валерiю </w:t>
            </w:r>
            <w:r>
              <w:rPr>
                <w:rFonts w:ascii="Times New Roman CYR" w:hAnsi="Times New Roman CYR" w:cs="Times New Roman CYR"/>
              </w:rPr>
              <w:lastRenderedPageBreak/>
              <w:t>Олександровичу в установленому порядку забезпечити скликання рiчних загальних зборiв Товариства на 25 квiтня 2024 року та укласти Договiр на iнформацiйне та органiзацiйне забезпечення проведення загальних зборiв Товариства iз депозитарною устано</w:t>
            </w:r>
            <w:r>
              <w:rPr>
                <w:rFonts w:ascii="Times New Roman CYR" w:hAnsi="Times New Roman CYR" w:cs="Times New Roman CYR"/>
              </w:rPr>
              <w:t>вою ТОВ "БЮРО IНВЕСТИЦIЙНИХ ТЕХНОЛОГIЙ".</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3)</w:t>
            </w:r>
            <w:r>
              <w:rPr>
                <w:rFonts w:ascii="Times New Roman CYR" w:hAnsi="Times New Roman CYR" w:cs="Times New Roman CYR"/>
              </w:rPr>
              <w:tab/>
              <w:t>Уповноважити Голову правлiння Товариства Кожухаря Валерiя Олександровича на взаємодiю з Центральним депозитарiєм України при проведеннi дистанцiйних рiчних загальних зборiв.</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Питання №2.</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w:t>
            </w:r>
            <w:r>
              <w:rPr>
                <w:rFonts w:ascii="Times New Roman CYR" w:hAnsi="Times New Roman CYR" w:cs="Times New Roman CYR"/>
              </w:rPr>
              <w:tab/>
              <w:t>Затвердити наступний пр</w:t>
            </w:r>
            <w:r>
              <w:rPr>
                <w:rFonts w:ascii="Times New Roman CYR" w:hAnsi="Times New Roman CYR" w:cs="Times New Roman CYR"/>
              </w:rPr>
              <w:t>оект порядку денного рiчних загальних зборiв Товариства:</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w:t>
            </w:r>
            <w:r>
              <w:rPr>
                <w:rFonts w:ascii="Times New Roman CYR" w:hAnsi="Times New Roman CYR" w:cs="Times New Roman CYR"/>
              </w:rPr>
              <w:tab/>
              <w:t>Затвердження регламенту проведення рiчних загальних зборiв Товариства.</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w:t>
            </w:r>
            <w:r>
              <w:rPr>
                <w:rFonts w:ascii="Times New Roman CYR" w:hAnsi="Times New Roman CYR" w:cs="Times New Roman CYR"/>
              </w:rPr>
              <w:tab/>
              <w:t>Звiт Голови правлiння про результати фiнансово-господарської д</w:t>
            </w:r>
            <w:r>
              <w:rPr>
                <w:rFonts w:ascii="Times New Roman CYR" w:hAnsi="Times New Roman CYR" w:cs="Times New Roman CYR"/>
              </w:rPr>
              <w:t>iяльностi Товариства за 2023 рiк та визначення основних напрямкiв дiяльностi Товариства на 2024 рiк, прийняття рiшення за наслiдками розгляду звiту.</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3)</w:t>
            </w:r>
            <w:r>
              <w:rPr>
                <w:rFonts w:ascii="Times New Roman CYR" w:hAnsi="Times New Roman CYR" w:cs="Times New Roman CYR"/>
              </w:rPr>
              <w:tab/>
              <w:t>Звiт Наглядової Ради Товариства за 2023 рiк, прийняття рiшення за наслiдками розгляду звiту.</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4)</w:t>
            </w:r>
            <w:r>
              <w:rPr>
                <w:rFonts w:ascii="Times New Roman CYR" w:hAnsi="Times New Roman CYR" w:cs="Times New Roman CYR"/>
              </w:rPr>
              <w:tab/>
              <w:t xml:space="preserve">Звiт та </w:t>
            </w:r>
            <w:r>
              <w:rPr>
                <w:rFonts w:ascii="Times New Roman CYR" w:hAnsi="Times New Roman CYR" w:cs="Times New Roman CYR"/>
              </w:rPr>
              <w:t>висновки Ревiзiйної комiсiї Товариства за 2023 рiк, прийняття рiшення за наслiдками розгляду звiту.</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5)</w:t>
            </w:r>
            <w:r>
              <w:rPr>
                <w:rFonts w:ascii="Times New Roman CYR" w:hAnsi="Times New Roman CYR" w:cs="Times New Roman CYR"/>
              </w:rPr>
              <w:tab/>
              <w:t>Затвердження рiчного звiту та балансу Товариства за 2023 рiк.</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6)</w:t>
            </w:r>
            <w:r>
              <w:rPr>
                <w:rFonts w:ascii="Times New Roman CYR" w:hAnsi="Times New Roman CYR" w:cs="Times New Roman CYR"/>
              </w:rPr>
              <w:tab/>
              <w:t>Затвердження порядку розподiлу прибутку (покриття збиткiв) Товариства за 2023 рiк.</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7)</w:t>
            </w:r>
            <w:r>
              <w:rPr>
                <w:rFonts w:ascii="Times New Roman CYR" w:hAnsi="Times New Roman CYR" w:cs="Times New Roman CYR"/>
              </w:rPr>
              <w:tab/>
              <w:t>Пр</w:t>
            </w:r>
            <w:r>
              <w:rPr>
                <w:rFonts w:ascii="Times New Roman CYR" w:hAnsi="Times New Roman CYR" w:cs="Times New Roman CYR"/>
              </w:rPr>
              <w:t>о виплату дивiдендiв.</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8)</w:t>
            </w:r>
            <w:r>
              <w:rPr>
                <w:rFonts w:ascii="Times New Roman CYR" w:hAnsi="Times New Roman CYR" w:cs="Times New Roman CYR"/>
              </w:rPr>
              <w:tab/>
              <w:t>Схвалення та надання згоди на укладенi Товариством значнi правочини.</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9)</w:t>
            </w:r>
            <w:r>
              <w:rPr>
                <w:rFonts w:ascii="Times New Roman CYR" w:hAnsi="Times New Roman CYR" w:cs="Times New Roman CYR"/>
              </w:rPr>
              <w:tab/>
              <w:t>Про попереднє надання згоди на вчинення значних правочинiв.</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10)</w:t>
            </w:r>
            <w:r>
              <w:rPr>
                <w:rFonts w:ascii="Times New Roman CYR" w:hAnsi="Times New Roman CYR" w:cs="Times New Roman CYR"/>
              </w:rPr>
              <w:tab/>
              <w:t>Припинення  повноважень Голови та членiв Наглядової ради Товариства.</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11)</w:t>
            </w:r>
            <w:r>
              <w:rPr>
                <w:rFonts w:ascii="Times New Roman CYR" w:hAnsi="Times New Roman CYR" w:cs="Times New Roman CYR"/>
              </w:rPr>
              <w:tab/>
              <w:t>Обрання членiв Наглядо</w:t>
            </w:r>
            <w:r>
              <w:rPr>
                <w:rFonts w:ascii="Times New Roman CYR" w:hAnsi="Times New Roman CYR" w:cs="Times New Roman CYR"/>
              </w:rPr>
              <w:t>вої ради Товариства.</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12)</w:t>
            </w:r>
            <w:r>
              <w:rPr>
                <w:rFonts w:ascii="Times New Roman CYR" w:hAnsi="Times New Roman CYR" w:cs="Times New Roman CYR"/>
              </w:rPr>
              <w:tab/>
              <w:t>Припинення повноважень Голови та членiв Ревiзiйної комiсiї.</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13)</w:t>
            </w:r>
            <w:r>
              <w:rPr>
                <w:rFonts w:ascii="Times New Roman CYR" w:hAnsi="Times New Roman CYR" w:cs="Times New Roman CYR"/>
              </w:rPr>
              <w:tab/>
              <w:t xml:space="preserve">Внесення та затвердження змiн та доповнень до статуту Товариства шляхом викладення його в новiй редакцiї. Надання повноважень , щодо пiдпису нової редакцiї статуту та </w:t>
            </w:r>
            <w:r>
              <w:rPr>
                <w:rFonts w:ascii="Times New Roman CYR" w:hAnsi="Times New Roman CYR" w:cs="Times New Roman CYR"/>
              </w:rPr>
              <w:t>її державної реєстрацiї.</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14)</w:t>
            </w:r>
            <w:r>
              <w:rPr>
                <w:rFonts w:ascii="Times New Roman CYR" w:hAnsi="Times New Roman CYR" w:cs="Times New Roman CYR"/>
              </w:rPr>
              <w:tab/>
              <w:t>Внесення та затвердження змiн та доповнень до внутрiшнiх положень товариства шляхом викладення їх в новiй редакцiї. Надання повноважень, щодо пiдпису нової редакцiї внутрiшнiх положень.</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w:t>
            </w:r>
            <w:r>
              <w:rPr>
                <w:rFonts w:ascii="Times New Roman CYR" w:hAnsi="Times New Roman CYR" w:cs="Times New Roman CYR"/>
              </w:rPr>
              <w:tab/>
              <w:t>Затвердити проекти рiшень щодо кожного</w:t>
            </w:r>
            <w:r>
              <w:rPr>
                <w:rFonts w:ascii="Times New Roman CYR" w:hAnsi="Times New Roman CYR" w:cs="Times New Roman CYR"/>
              </w:rPr>
              <w:t xml:space="preserve"> питання проекту порядку денного </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Питання №3. Датою складання перелiку акцiонерiв Товариства, якi мають бути повiдомленi про проведення рiчних загальних зборiв, встановити 22 березня 2024 року, датою складання перелiку акцiонерiв, якi мають право на участь</w:t>
            </w:r>
            <w:r>
              <w:rPr>
                <w:rFonts w:ascii="Times New Roman CYR" w:hAnsi="Times New Roman CYR" w:cs="Times New Roman CYR"/>
              </w:rPr>
              <w:t xml:space="preserve"> у рiчних загальних зборах, встановити 24 годину 22 квiтня 2024 року.</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Питання №4. Затвердити форму i текст бюлетеня для голосування на рiчних  загальних зборах Товариства.</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Питання №5. Затвердити форму i текст бюлетеня для голосування на рiчних  загальних з</w:t>
            </w:r>
            <w:r>
              <w:rPr>
                <w:rFonts w:ascii="Times New Roman CYR" w:hAnsi="Times New Roman CYR" w:cs="Times New Roman CYR"/>
              </w:rPr>
              <w:t>борах Товариства.</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Питання №6. Обрати Головою рiчних загальних зборiв Гервазюка Дениса Анатолiйовича та Секретарем рiчних  загальних зборiв Березовського Вiталiя Володимировича.</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Питання №7. Обрати лiчильну комiсiю у складi: Голова лiчильної комiсiї - Довбен</w:t>
            </w:r>
            <w:r>
              <w:rPr>
                <w:rFonts w:ascii="Times New Roman CYR" w:hAnsi="Times New Roman CYR" w:cs="Times New Roman CYR"/>
              </w:rPr>
              <w:t>ко О.I., Члени лiчильної комiсiї - Iсаков В.З., Бородай Н.Г.</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 xml:space="preserve">15.03.2024 р. РIШЕННЯ: </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1.</w:t>
            </w:r>
            <w:r>
              <w:rPr>
                <w:rFonts w:ascii="Times New Roman CYR" w:hAnsi="Times New Roman CYR" w:cs="Times New Roman CYR"/>
              </w:rPr>
              <w:tab/>
              <w:t>Затвердити текст повiдомлення, яке буде розсилатись персонально акцiонерам, якi включенi до перелiку акцiонерiв, що повiдомляються про проведення рiчних загальних зборi</w:t>
            </w:r>
            <w:r>
              <w:rPr>
                <w:rFonts w:ascii="Times New Roman CYR" w:hAnsi="Times New Roman CYR" w:cs="Times New Roman CYR"/>
              </w:rPr>
              <w:t>в АТ "Ямпiльський приладобудiвний завод" (Додаток 1).</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w:t>
            </w:r>
            <w:r>
              <w:rPr>
                <w:rFonts w:ascii="Times New Roman CYR" w:hAnsi="Times New Roman CYR" w:cs="Times New Roman CYR"/>
              </w:rPr>
              <w:tab/>
              <w:t>Здiйснити персональне повiдомлення акцiонерiв про проведення рiчних загальних зборiв Товариства через депозитарну систему.</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3.</w:t>
            </w:r>
            <w:r>
              <w:rPr>
                <w:rFonts w:ascii="Times New Roman CYR" w:hAnsi="Times New Roman CYR" w:cs="Times New Roman CYR"/>
              </w:rPr>
              <w:tab/>
              <w:t xml:space="preserve">Доручити Головi правлiння Товариства Кожухарю Валерiю </w:t>
            </w:r>
            <w:r>
              <w:rPr>
                <w:rFonts w:ascii="Times New Roman CYR" w:hAnsi="Times New Roman CYR" w:cs="Times New Roman CYR"/>
              </w:rPr>
              <w:lastRenderedPageBreak/>
              <w:t>Олександровичу розм</w:t>
            </w:r>
            <w:r>
              <w:rPr>
                <w:rFonts w:ascii="Times New Roman CYR" w:hAnsi="Times New Roman CYR" w:cs="Times New Roman CYR"/>
              </w:rPr>
              <w:t>iстити повiдомлення про скликання рiчних загальних зборiв в загальнодоступнiй iнформацiйнiй базi даних НКЦПФР та на веб-сайтi Товариства.</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09.04.2024 р. РIШЕННЯ:Звiльнити члена правлiння - заступника головного бухгалтера Слободянюк Тамару Петрiвну за власни</w:t>
            </w:r>
            <w:r>
              <w:rPr>
                <w:rFonts w:ascii="Times New Roman CYR" w:hAnsi="Times New Roman CYR" w:cs="Times New Roman CYR"/>
              </w:rPr>
              <w:t>м бажанням ст.38 КЗпП в зв'язку з виходом на пенсiю з 9 квiтня 2024 року.</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24.04.2024 р. РIШЕННЯ:Звiт голови правлiння про результати фiнансово-господарської дiяльностi Товариства роботи за I квартал 2024 року затвердити.</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30.04.2024 р. РIШЕННЯ:Обрати секрет</w:t>
            </w:r>
            <w:r>
              <w:rPr>
                <w:rFonts w:ascii="Times New Roman CYR" w:hAnsi="Times New Roman CYR" w:cs="Times New Roman CYR"/>
              </w:rPr>
              <w:t>арем Наглядової Грiшкiну Надiю Єгорiвну. Обрати головою Наглядової ради члена Наглядової ради Патлатюка Петра Миколайовича. Обрати заступником голови Наглядової ради члена Наглядової ради Чефранова Iгоря Євгеновича. Затвердити положення про винагороду член</w:t>
            </w:r>
            <w:r>
              <w:rPr>
                <w:rFonts w:ascii="Times New Roman CYR" w:hAnsi="Times New Roman CYR" w:cs="Times New Roman CYR"/>
              </w:rPr>
              <w:t>iв правлiння акцiонерного товариства "Ямпiльський приладобудiвний завод".</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24.05.2024 р. РIШЕННЯ:Затвердити рiчну iнформацiю за 2023 рiк, розмiстити на власному сайтi та подати до НКЦПФР.</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23.07.2024 р. РIШЕННЯ:Звiт голови правлiння про результати фiнансово-господарської дiяльностi Товариства роботи за II квартал 2024 року затвердити.</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22.08.2024 р. РIШЕННЯ:Затвердити новi оклади членам правлiння та головi правлiння згiдно тарифiкацiйної вiдо</w:t>
            </w:r>
            <w:r>
              <w:rPr>
                <w:rFonts w:ascii="Times New Roman CYR" w:hAnsi="Times New Roman CYR" w:cs="Times New Roman CYR"/>
              </w:rPr>
              <w:t>мостi з 1 серпня 2024 року</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25.10.2024 р. РIШЕННЯ:Звiт голови правлiння про результати фiнансово-господарської дiяльностi Товариства роботи за III квартал 2024 року затвердити</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Звіт ради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 оцiнка складу, структури та дiяльностi ради як колегiального орган</w:t>
      </w:r>
      <w:r>
        <w:rPr>
          <w:rFonts w:ascii="Times New Roman CYR" w:hAnsi="Times New Roman CYR" w:cs="Times New Roman CYR"/>
          <w:sz w:val="24"/>
          <w:szCs w:val="24"/>
        </w:rPr>
        <w:t>у (колективної придатностi ради);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Органами Товариства не розглядались та не приймались рiшення по питанням оцiнки складу, структури Наглядової ради.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 оцiнка компетентностi та ефективностi кожного члена ради, включаючи iнформацiю про його дiяльнiсть як по</w:t>
      </w:r>
      <w:r>
        <w:rPr>
          <w:rFonts w:ascii="Times New Roman CYR" w:hAnsi="Times New Roman CYR" w:cs="Times New Roman CYR"/>
          <w:sz w:val="24"/>
          <w:szCs w:val="24"/>
        </w:rPr>
        <w:t>садової особи iнших юридичних осiб або iншу дiяльнiсть - оплачувану i безоплатну;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Органами Товариства не розглядались та не приймались рiшення по питанням оцiнки компетентностi та ефективностi кожного члена Наглядової ради.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3) оцiнка незалежностi кожного </w:t>
      </w:r>
      <w:r>
        <w:rPr>
          <w:rFonts w:ascii="Times New Roman CYR" w:hAnsi="Times New Roman CYR" w:cs="Times New Roman CYR"/>
          <w:sz w:val="24"/>
          <w:szCs w:val="24"/>
        </w:rPr>
        <w:t>з незалежних членiв ради;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Органами Товариства не розглядались та не приймались рiшення по питанням незалежностi кожного члена ради.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 оцiнка компетентностi та ефективностi кожного з комiтетiв ради, їхнi функцiональнi повноваження. При цьому, комiтет ради</w:t>
      </w:r>
      <w:r>
        <w:rPr>
          <w:rFonts w:ascii="Times New Roman CYR" w:hAnsi="Times New Roman CYR" w:cs="Times New Roman CYR"/>
          <w:sz w:val="24"/>
          <w:szCs w:val="24"/>
        </w:rPr>
        <w:t xml:space="preserve"> з питань аудиту окремо має зазначати iнформацiю про свої висновки щодо незалежностi проведеного зовнiшнього аудиту особи, зокрема незалежностi аудитора (аудиторської фiрми);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Комiтети не створенi.</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5) оцiнка виконання радою поставлених цiлей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На протязi звiтного перiоду Наглядовою радою здiйснювався контроль дiяльностi виконавчого органу вiдповiдно до Статуту Товариства та законодавства. Оцiнка дiяльностi Наглядової ради вiдбувається шляхом затвердження звiту Наглядової ради за звiтний рiк на р</w:t>
      </w:r>
      <w:r>
        <w:rPr>
          <w:rFonts w:ascii="Times New Roman CYR" w:hAnsi="Times New Roman CYR" w:cs="Times New Roman CYR"/>
          <w:sz w:val="24"/>
          <w:szCs w:val="24"/>
        </w:rPr>
        <w:t>iчних Загальних зборах акцiонерiв. Робота наглядової ради за звiтний перiод в проектi рiшення рiчних загальних зборах, якi вiдбудуться 25.04.2025 р., визнана задовiльною та такою, що вiдповiдає метi та напрямкам дiяльностi АТ.</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6) iнформацiя про внутрiшню с</w:t>
      </w:r>
      <w:r>
        <w:rPr>
          <w:rFonts w:ascii="Times New Roman CYR" w:hAnsi="Times New Roman CYR" w:cs="Times New Roman CYR"/>
          <w:sz w:val="24"/>
          <w:szCs w:val="24"/>
        </w:rPr>
        <w:t>труктуру ради, процедури, що застосовуються при прийняттi нею рiшень, включаючи зазначення того, яким чином дiяльнiсть ради зумовила змiни у фiнансово-господарськiй дiяльностi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Внутрiшня структура ради - голова наглядової ради та 4 члени наглядової р</w:t>
      </w:r>
      <w:r>
        <w:rPr>
          <w:rFonts w:ascii="Times New Roman CYR" w:hAnsi="Times New Roman CYR" w:cs="Times New Roman CYR"/>
          <w:sz w:val="24"/>
          <w:szCs w:val="24"/>
        </w:rPr>
        <w:t xml:space="preserve">ади.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Основною органiзацiйною формою роботи Наглядової ради є засiдання. Засiдання Наглядової Ради скликаються за iнiцiативою Голови Наглядової Ради або на вимогу члена Наглядової Ради, Правлiння Товариства. На вимогу Наглядової Ради в її засiданнi або в р</w:t>
      </w:r>
      <w:r>
        <w:rPr>
          <w:rFonts w:ascii="Times New Roman CYR" w:hAnsi="Times New Roman CYR" w:cs="Times New Roman CYR"/>
          <w:sz w:val="24"/>
          <w:szCs w:val="24"/>
        </w:rPr>
        <w:t>озглядi окремих питань порядку денного беруть участь Голова правлiння та iншi визначенi нею особи. Засiдання Наглядової Ради проводяться в мiру необхiдностi, але не рiдше одного разу на квартал. У засiданнi Наглядової Ради на її запрошення з правом дорадчо</w:t>
      </w:r>
      <w:r>
        <w:rPr>
          <w:rFonts w:ascii="Times New Roman CYR" w:hAnsi="Times New Roman CYR" w:cs="Times New Roman CYR"/>
          <w:sz w:val="24"/>
          <w:szCs w:val="24"/>
        </w:rPr>
        <w:t xml:space="preserve">го голосу можуть брати участь представники профспiлкового або iншого уповноваженого </w:t>
      </w:r>
      <w:r>
        <w:rPr>
          <w:rFonts w:ascii="Times New Roman CYR" w:hAnsi="Times New Roman CYR" w:cs="Times New Roman CYR"/>
          <w:sz w:val="24"/>
          <w:szCs w:val="24"/>
        </w:rPr>
        <w:lastRenderedPageBreak/>
        <w:t>трудовим колективом органу, який пiдписав колективний договiр вiд iменi трудового колективу. Рiшення Наглядової Ради приймається простою бiльшiстю голосiв членiв Наглядової</w:t>
      </w:r>
      <w:r>
        <w:rPr>
          <w:rFonts w:ascii="Times New Roman CYR" w:hAnsi="Times New Roman CYR" w:cs="Times New Roman CYR"/>
          <w:sz w:val="24"/>
          <w:szCs w:val="24"/>
        </w:rPr>
        <w:t xml:space="preserve"> Ради, якi беруть участь у засiданнi та мають право голосу. На засiданнях Наглядової ради кожний Член Наглядової Ради має один голос. Протокол засiдання Наглядової Ради оформляється не пiзнiше нiж протягом п'яти днiв пiсля проведення засiдання. Протокол за</w:t>
      </w:r>
      <w:r>
        <w:rPr>
          <w:rFonts w:ascii="Times New Roman CYR" w:hAnsi="Times New Roman CYR" w:cs="Times New Roman CYR"/>
          <w:sz w:val="24"/>
          <w:szCs w:val="24"/>
        </w:rPr>
        <w:t>сiдання Наглядової Ради пiдписує Голова та Секретар Наглядової Ради. Порядок органiзацiї, проведення засiдань Наглядової Ради та її комiтетiв, складання протоколiв засiдань Наглядової Ради та її комiтетiв, зберiгання та надання доступу до матерiалiв засiда</w:t>
      </w:r>
      <w:r>
        <w:rPr>
          <w:rFonts w:ascii="Times New Roman CYR" w:hAnsi="Times New Roman CYR" w:cs="Times New Roman CYR"/>
          <w:sz w:val="24"/>
          <w:szCs w:val="24"/>
        </w:rPr>
        <w:t>нь Наглядової Ради та її комiтетiв визначається Законом України "Про акцiонернi товариства", Положенням "Про Наглядову Раду АТ "Ямпiльський приладобудiвний завод", положеннями про вiдповiднi комiтети Наглядової Ради, у разi їх затвердження Загальними Збора</w:t>
      </w:r>
      <w:r>
        <w:rPr>
          <w:rFonts w:ascii="Times New Roman CYR" w:hAnsi="Times New Roman CYR" w:cs="Times New Roman CYR"/>
          <w:sz w:val="24"/>
          <w:szCs w:val="24"/>
        </w:rPr>
        <w:t>ми.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Рiшення наглядової ради, якi стосувалися дiяльностi пiдприємства позитивно вплинули на фiнансово-господарську дiяльнiсть товариства.</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Частина 5. Виконавчий орган</w:t>
      </w: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Персональний склад колегіального виконавчого органу та його комітетів</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000"/>
        <w:gridCol w:w="1150"/>
        <w:gridCol w:w="1150"/>
        <w:gridCol w:w="1150"/>
        <w:gridCol w:w="1150"/>
        <w:gridCol w:w="1150"/>
        <w:gridCol w:w="1250"/>
      </w:tblGrid>
      <w:tr w:rsidR="00000000">
        <w:tblPrEx>
          <w:tblCellMar>
            <w:top w:w="0" w:type="dxa"/>
            <w:bottom w:w="0" w:type="dxa"/>
          </w:tblCellMar>
        </w:tblPrEx>
        <w:trPr>
          <w:trHeight w:val="200"/>
        </w:trPr>
        <w:tc>
          <w:tcPr>
            <w:tcW w:w="3000" w:type="dxa"/>
            <w:vMerge w:val="restart"/>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Ім'я члена виконавчо</w:t>
            </w:r>
            <w:r>
              <w:rPr>
                <w:rFonts w:ascii="Times New Roman CYR" w:hAnsi="Times New Roman CYR" w:cs="Times New Roman CYR"/>
              </w:rPr>
              <w:t>го органу, строк повноважень у звітному періоді</w:t>
            </w:r>
          </w:p>
        </w:tc>
        <w:tc>
          <w:tcPr>
            <w:tcW w:w="115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РНОКПП</w:t>
            </w:r>
          </w:p>
        </w:tc>
        <w:tc>
          <w:tcPr>
            <w:tcW w:w="115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УНЗР</w:t>
            </w:r>
          </w:p>
        </w:tc>
        <w:tc>
          <w:tcPr>
            <w:tcW w:w="1150" w:type="dxa"/>
            <w:vMerge w:val="restart"/>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Голова/ заступник голови виконавчого органу</w:t>
            </w:r>
          </w:p>
        </w:tc>
        <w:tc>
          <w:tcPr>
            <w:tcW w:w="3550" w:type="dxa"/>
            <w:gridSpan w:val="3"/>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ab/>
              <w:t>Голова / член комітету виконавчого органу</w:t>
            </w:r>
          </w:p>
        </w:tc>
      </w:tr>
      <w:tr w:rsidR="00000000">
        <w:tblPrEx>
          <w:tblCellMar>
            <w:top w:w="0" w:type="dxa"/>
            <w:bottom w:w="0" w:type="dxa"/>
          </w:tblCellMar>
        </w:tblPrEx>
        <w:trPr>
          <w:trHeight w:val="200"/>
        </w:trPr>
        <w:tc>
          <w:tcPr>
            <w:tcW w:w="3000" w:type="dxa"/>
            <w:vMerge/>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vMerge/>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Назва комітету - 1</w:t>
            </w:r>
          </w:p>
        </w:tc>
        <w:tc>
          <w:tcPr>
            <w:tcW w:w="11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Назва комітету - 2</w:t>
            </w:r>
          </w:p>
        </w:tc>
        <w:tc>
          <w:tcPr>
            <w:tcW w:w="12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Назва комітету - 3</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Кожухар Валерiй Олександрович (01.01.2024 - 31.13.2024 р.р.)</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X</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Мадюдя Михайло Михайлович</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Брушньовський Вадим Михайлович</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Y</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Гервазюк Денис Анатолiйович</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Слободянюк Тамара Петрiвна</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Калiон Сергiй Вiкторович</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Лубковський Валерiй Володимирович</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Y</w:t>
            </w: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1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25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Інформація про проведені засідання колегіального виконавчого органу та загальний опис прийнятих рішень</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000"/>
        <w:gridCol w:w="8000"/>
      </w:tblGrid>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1</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2</w:t>
            </w:r>
          </w:p>
        </w:tc>
      </w:tr>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Кількість засідань ради у звітному періоді:</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0</w:t>
            </w:r>
          </w:p>
        </w:tc>
      </w:tr>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 них очних:</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0</w:t>
            </w:r>
          </w:p>
        </w:tc>
      </w:tr>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 них заочних:</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0</w:t>
            </w:r>
          </w:p>
        </w:tc>
      </w:tr>
      <w:tr w:rsidR="00000000">
        <w:tblPrEx>
          <w:tblCellMar>
            <w:top w:w="0" w:type="dxa"/>
            <w:bottom w:w="0" w:type="dxa"/>
          </w:tblCellMar>
        </w:tblPrEx>
        <w:trPr>
          <w:trHeight w:val="200"/>
        </w:trPr>
        <w:tc>
          <w:tcPr>
            <w:tcW w:w="200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 ключових ріше</w:t>
            </w:r>
            <w:r>
              <w:rPr>
                <w:rFonts w:ascii="Times New Roman CYR" w:hAnsi="Times New Roman CYR" w:cs="Times New Roman CYR"/>
              </w:rPr>
              <w:t>нь ради:</w:t>
            </w:r>
          </w:p>
        </w:tc>
        <w:tc>
          <w:tcPr>
            <w:tcW w:w="80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Засiдання не проводились.</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Звіт виконавчого органу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1)</w:t>
      </w:r>
      <w:r>
        <w:rPr>
          <w:rFonts w:ascii="Times New Roman CYR" w:hAnsi="Times New Roman CYR" w:cs="Times New Roman CYR"/>
          <w:sz w:val="24"/>
          <w:szCs w:val="24"/>
        </w:rPr>
        <w:tab/>
        <w:t>оцiнка складу, структури та дiяльностi виконавчого органу;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Органами Товариства не розглядались та не приймались рiшення по питанням оцiнки складу, структури правлiння.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2)</w:t>
      </w:r>
      <w:r>
        <w:rPr>
          <w:rFonts w:ascii="Times New Roman CYR" w:hAnsi="Times New Roman CYR" w:cs="Times New Roman CYR"/>
          <w:sz w:val="24"/>
          <w:szCs w:val="24"/>
        </w:rPr>
        <w:tab/>
        <w:t>оцiнка компетентностi та ефективностi керiвника та заступникiв керiвника/голови та членiв колегiального виконавчого органу, включаючи iнформацiю про його дiяльнiсть як посадової особи iнших юридичних осiб або iншу дiяльнiсть - оплачувану i безоплатну;</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О</w:t>
      </w:r>
      <w:r>
        <w:rPr>
          <w:rFonts w:ascii="Times New Roman CYR" w:hAnsi="Times New Roman CYR" w:cs="Times New Roman CYR"/>
          <w:sz w:val="24"/>
          <w:szCs w:val="24"/>
        </w:rPr>
        <w:t>рганами Товариства не розглядались та не приймались рiшення по питанням оцiнки компетентностi та ефективностi кожного члена правлiння.</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3)</w:t>
      </w:r>
      <w:r>
        <w:rPr>
          <w:rFonts w:ascii="Times New Roman CYR" w:hAnsi="Times New Roman CYR" w:cs="Times New Roman CYR"/>
          <w:sz w:val="24"/>
          <w:szCs w:val="24"/>
        </w:rPr>
        <w:tab/>
        <w:t xml:space="preserve">оцiнка виконання виконавчим органом поставлених цiлей особи. </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Рiшення, якi прийнятi правлiнням протягом звiтного перiо</w:t>
      </w:r>
      <w:r>
        <w:rPr>
          <w:rFonts w:ascii="Times New Roman CYR" w:hAnsi="Times New Roman CYR" w:cs="Times New Roman CYR"/>
          <w:sz w:val="24"/>
          <w:szCs w:val="24"/>
        </w:rPr>
        <w:t>ду, позитивно вплинули на забезпечення досягнення поставлених перед емiтентом цiлей.</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4)</w:t>
      </w:r>
      <w:r>
        <w:rPr>
          <w:rFonts w:ascii="Times New Roman CYR" w:hAnsi="Times New Roman CYR" w:cs="Times New Roman CYR"/>
          <w:sz w:val="24"/>
          <w:szCs w:val="24"/>
        </w:rPr>
        <w:tab/>
        <w:t>iнформацiя про те, яким чином дiяльнiсть виконавчого органу зумовила змiни у фiнансово--господарськiй дiяльностi особи.</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Дiяльнiсть виконавчого органу зумовила позитивнi</w:t>
      </w:r>
      <w:r>
        <w:rPr>
          <w:rFonts w:ascii="Times New Roman CYR" w:hAnsi="Times New Roman CYR" w:cs="Times New Roman CYR"/>
          <w:sz w:val="24"/>
          <w:szCs w:val="24"/>
        </w:rPr>
        <w:t xml:space="preserve"> змiни у фiнансово-господарськiй дiяльностi товариства. Робота правлiння товариства за звiтний перiод визнана задовiльною.</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Частина 8. Інформація щодо осіб, які прямо або опосередковано є власниками значного пакета акцій особи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000"/>
        <w:gridCol w:w="1750"/>
        <w:gridCol w:w="1750"/>
        <w:gridCol w:w="1750"/>
        <w:gridCol w:w="1750"/>
      </w:tblGrid>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Ім'я або повне найменування а</w:t>
            </w:r>
            <w:r>
              <w:rPr>
                <w:rFonts w:ascii="Times New Roman CYR" w:hAnsi="Times New Roman CYR" w:cs="Times New Roman CYR"/>
              </w:rPr>
              <w:t>кціонера</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РНОКПП</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УНЗР</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Розмір значного пакета акцій</w:t>
            </w:r>
          </w:p>
        </w:tc>
        <w:tc>
          <w:tcPr>
            <w:tcW w:w="17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Розмір пакета акцій, що знаходиться в прямому та (опосередкованому) володінні</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Кожухар Валентина Гаврилiвна</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39,31</w:t>
            </w:r>
          </w:p>
        </w:tc>
        <w:tc>
          <w:tcPr>
            <w:tcW w:w="17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39,31</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Макогон Олексiй Миколайович</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13,35</w:t>
            </w:r>
          </w:p>
        </w:tc>
        <w:tc>
          <w:tcPr>
            <w:tcW w:w="17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13,35</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Мельников Дмитро Iгорович</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13,35</w:t>
            </w:r>
          </w:p>
        </w:tc>
        <w:tc>
          <w:tcPr>
            <w:tcW w:w="17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13,35</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Мєдвєдєв Михайло Володимирович</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13,35</w:t>
            </w:r>
          </w:p>
        </w:tc>
        <w:tc>
          <w:tcPr>
            <w:tcW w:w="175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13,35</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Частина 9. Інформація щодо будь-яких обмежень прав участі та голосування акціонерів (учасників) на загальних зборах особи</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000"/>
        <w:gridCol w:w="1750"/>
        <w:gridCol w:w="1750"/>
        <w:gridCol w:w="3500"/>
      </w:tblGrid>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Ім'я або повне найменування акціонера (учасника) права участі та/або голосування якого</w:t>
            </w:r>
            <w:r>
              <w:rPr>
                <w:rFonts w:ascii="Times New Roman CYR" w:hAnsi="Times New Roman CYR" w:cs="Times New Roman CYR"/>
              </w:rPr>
              <w:t xml:space="preserve"> обмежено</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РНОКПП</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УНЗР</w:t>
            </w:r>
          </w:p>
        </w:tc>
        <w:tc>
          <w:tcPr>
            <w:tcW w:w="35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Опис наявного обмеження</w:t>
            </w:r>
          </w:p>
        </w:tc>
      </w:tr>
      <w:tr w:rsidR="00000000">
        <w:tblPrEx>
          <w:tblCellMar>
            <w:top w:w="0" w:type="dxa"/>
            <w:bottom w:w="0" w:type="dxa"/>
          </w:tblCellMar>
        </w:tblPrEx>
        <w:trPr>
          <w:trHeight w:val="200"/>
        </w:trPr>
        <w:tc>
          <w:tcPr>
            <w:tcW w:w="30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2316</w:t>
            </w: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35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Вiдповiдно до Закону України "Про депозитарну систему України" вiд 06.07.2012 року №5178-VI,  якщо власник цiнних паперiв протягом одного року з дня набрання чинностi цього Закону, не уклав з обраною емiтентом депозитарною установою договору про обслуговув</w:t>
            </w:r>
            <w:r>
              <w:rPr>
                <w:rFonts w:ascii="Times New Roman CYR" w:hAnsi="Times New Roman CYR" w:cs="Times New Roman CYR"/>
              </w:rPr>
              <w:t>ання рахунка в цiнних паперах вiд власного iменi або не здiйснив переказ належних йому прав на цiннi папери на свiй рахунок у цiнних паперах, вiдкритий в iншiй депозитарнiй установi, цiннi папери такого власника (якi дають право на участь в органах емiтент</w:t>
            </w:r>
            <w:r>
              <w:rPr>
                <w:rFonts w:ascii="Times New Roman CYR" w:hAnsi="Times New Roman CYR" w:cs="Times New Roman CYR"/>
              </w:rPr>
              <w:t>а) не враховуються при визначенi кворуму та при голосуваннi в органах емiтента.</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b/>
          <w:bCs/>
          <w:sz w:val="24"/>
          <w:szCs w:val="24"/>
        </w:rPr>
      </w:pPr>
      <w:r>
        <w:rPr>
          <w:rFonts w:ascii="Times New Roman CYR" w:hAnsi="Times New Roman CYR" w:cs="Times New Roman CYR"/>
          <w:b/>
          <w:bCs/>
          <w:sz w:val="24"/>
          <w:szCs w:val="24"/>
        </w:rPr>
        <w:t>Частина 15. Інформація, передбачена законодавством про діяльність та регулювання діяльності на ринку фінансових послуг</w:t>
      </w:r>
    </w:p>
    <w:p w:rsidR="00000000" w:rsidRDefault="00DA6563">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Товариство не є фiнансовою установою.</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sectPr w:rsidR="00000000">
          <w:pgSz w:w="12240" w:h="15840"/>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lastRenderedPageBreak/>
        <w:t>3) інформація щодо наявності у емітента відносин з іноземними державами зони ризику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Інформація щодо наявності в структурі власності емітента фізичних осіб, які мають громадянство іноземної держави зони ризику</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500"/>
        <w:gridCol w:w="4500"/>
        <w:gridCol w:w="4400"/>
        <w:gridCol w:w="2000"/>
      </w:tblGrid>
      <w:tr w:rsidR="00000000">
        <w:tblPrEx>
          <w:tblCellMar>
            <w:top w:w="0" w:type="dxa"/>
            <w:bottom w:w="0" w:type="dxa"/>
          </w:tblCellMar>
        </w:tblPrEx>
        <w:trPr>
          <w:trHeight w:val="200"/>
        </w:trPr>
        <w:tc>
          <w:tcPr>
            <w:tcW w:w="4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Ім'я</w:t>
            </w:r>
          </w:p>
        </w:tc>
        <w:tc>
          <w:tcPr>
            <w:tcW w:w="4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Громадянство</w:t>
            </w:r>
          </w:p>
        </w:tc>
        <w:tc>
          <w:tcPr>
            <w:tcW w:w="4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Країна та населений пункт місця проживання</w:t>
            </w:r>
          </w:p>
        </w:tc>
        <w:tc>
          <w:tcPr>
            <w:tcW w:w="2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акцій товариства, що прямо чи опосередковано належать особі</w:t>
            </w:r>
          </w:p>
        </w:tc>
      </w:tr>
      <w:tr w:rsidR="00000000">
        <w:tblPrEx>
          <w:tblCellMar>
            <w:top w:w="0" w:type="dxa"/>
            <w:bottom w:w="0" w:type="dxa"/>
          </w:tblCellMar>
        </w:tblPrEx>
        <w:trPr>
          <w:trHeight w:val="200"/>
        </w:trPr>
        <w:tc>
          <w:tcPr>
            <w:tcW w:w="4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Мєдвєдєв Михайло Володимирович</w:t>
            </w:r>
          </w:p>
        </w:tc>
        <w:tc>
          <w:tcPr>
            <w:tcW w:w="4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w:t>
            </w:r>
          </w:p>
        </w:tc>
        <w:tc>
          <w:tcPr>
            <w:tcW w:w="4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 Самара</w:t>
            </w:r>
          </w:p>
        </w:tc>
        <w:tc>
          <w:tcPr>
            <w:tcW w:w="2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28 167</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 наявних у особи відносин контролю над емітентом</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Контролю над емiтентом немає.</w:t>
            </w:r>
          </w:p>
        </w:tc>
      </w:tr>
      <w:tr w:rsidR="00000000">
        <w:tblPrEx>
          <w:tblCellMar>
            <w:top w:w="0" w:type="dxa"/>
            <w:bottom w:w="0" w:type="dxa"/>
          </w:tblCellMar>
        </w:tblPrEx>
        <w:trPr>
          <w:trHeight w:val="200"/>
        </w:trPr>
        <w:tc>
          <w:tcPr>
            <w:tcW w:w="4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Мельнiков Дмитро Iгоревич</w:t>
            </w:r>
          </w:p>
        </w:tc>
        <w:tc>
          <w:tcPr>
            <w:tcW w:w="4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w:t>
            </w:r>
          </w:p>
        </w:tc>
        <w:tc>
          <w:tcPr>
            <w:tcW w:w="4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 Самара</w:t>
            </w:r>
          </w:p>
        </w:tc>
        <w:tc>
          <w:tcPr>
            <w:tcW w:w="2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28 167</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 наявних у особи відносин контролю над емітентом</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Контролю над емiтентом немає.</w:t>
            </w:r>
          </w:p>
        </w:tc>
      </w:tr>
      <w:tr w:rsidR="00000000">
        <w:tblPrEx>
          <w:tblCellMar>
            <w:top w:w="0" w:type="dxa"/>
            <w:bottom w:w="0" w:type="dxa"/>
          </w:tblCellMar>
        </w:tblPrEx>
        <w:trPr>
          <w:trHeight w:val="200"/>
        </w:trPr>
        <w:tc>
          <w:tcPr>
            <w:tcW w:w="4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Макогон Олексiй Миколайович</w:t>
            </w:r>
          </w:p>
        </w:tc>
        <w:tc>
          <w:tcPr>
            <w:tcW w:w="4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w:t>
            </w:r>
          </w:p>
        </w:tc>
        <w:tc>
          <w:tcPr>
            <w:tcW w:w="4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 Самара</w:t>
            </w:r>
          </w:p>
        </w:tc>
        <w:tc>
          <w:tcPr>
            <w:tcW w:w="2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28 167</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 наявних у особи відносин контролю над емітентом</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Контролю над емiтентом немає.</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Інформація щодо наявності в структурі власності емітента фізичних осіб, постійним місцем проживання яких є іноземні держави зони ризику</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500"/>
        <w:gridCol w:w="4500"/>
        <w:gridCol w:w="4400"/>
        <w:gridCol w:w="2000"/>
      </w:tblGrid>
      <w:tr w:rsidR="00000000">
        <w:tblPrEx>
          <w:tblCellMar>
            <w:top w:w="0" w:type="dxa"/>
            <w:bottom w:w="0" w:type="dxa"/>
          </w:tblCellMar>
        </w:tblPrEx>
        <w:trPr>
          <w:trHeight w:val="200"/>
        </w:trPr>
        <w:tc>
          <w:tcPr>
            <w:tcW w:w="4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Ім'я</w:t>
            </w:r>
          </w:p>
        </w:tc>
        <w:tc>
          <w:tcPr>
            <w:tcW w:w="4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Громадянство</w:t>
            </w:r>
          </w:p>
        </w:tc>
        <w:tc>
          <w:tcPr>
            <w:tcW w:w="4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Країна та населений пункт місця проживання</w:t>
            </w:r>
          </w:p>
        </w:tc>
        <w:tc>
          <w:tcPr>
            <w:tcW w:w="2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Кількість акцій товариства,</w:t>
            </w:r>
            <w:r>
              <w:rPr>
                <w:rFonts w:ascii="Times New Roman CYR" w:hAnsi="Times New Roman CYR" w:cs="Times New Roman CYR"/>
              </w:rPr>
              <w:t xml:space="preserve"> що прямо чи опосередковано належать особі</w:t>
            </w:r>
          </w:p>
        </w:tc>
      </w:tr>
      <w:tr w:rsidR="00000000">
        <w:tblPrEx>
          <w:tblCellMar>
            <w:top w:w="0" w:type="dxa"/>
            <w:bottom w:w="0" w:type="dxa"/>
          </w:tblCellMar>
        </w:tblPrEx>
        <w:trPr>
          <w:trHeight w:val="200"/>
        </w:trPr>
        <w:tc>
          <w:tcPr>
            <w:tcW w:w="4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Мєдвєдєв Михайло Володимирович</w:t>
            </w:r>
          </w:p>
        </w:tc>
        <w:tc>
          <w:tcPr>
            <w:tcW w:w="4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w:t>
            </w:r>
          </w:p>
        </w:tc>
        <w:tc>
          <w:tcPr>
            <w:tcW w:w="4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 Самара</w:t>
            </w:r>
          </w:p>
        </w:tc>
        <w:tc>
          <w:tcPr>
            <w:tcW w:w="2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28 167</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 наявних у особи відносин контролю над емітентом</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Контролю над емiтентом немає.</w:t>
            </w:r>
          </w:p>
        </w:tc>
      </w:tr>
      <w:tr w:rsidR="00000000">
        <w:tblPrEx>
          <w:tblCellMar>
            <w:top w:w="0" w:type="dxa"/>
            <w:bottom w:w="0" w:type="dxa"/>
          </w:tblCellMar>
        </w:tblPrEx>
        <w:trPr>
          <w:trHeight w:val="200"/>
        </w:trPr>
        <w:tc>
          <w:tcPr>
            <w:tcW w:w="4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Мельнiков Дмитро Iгоревич</w:t>
            </w:r>
          </w:p>
        </w:tc>
        <w:tc>
          <w:tcPr>
            <w:tcW w:w="4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w:t>
            </w:r>
          </w:p>
        </w:tc>
        <w:tc>
          <w:tcPr>
            <w:tcW w:w="4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 Самара</w:t>
            </w:r>
          </w:p>
        </w:tc>
        <w:tc>
          <w:tcPr>
            <w:tcW w:w="2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28 167</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 наявних у особи відносин контролю над емітентом</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Контролю над емiтентом немає.</w:t>
            </w:r>
          </w:p>
        </w:tc>
      </w:tr>
      <w:tr w:rsidR="00000000">
        <w:tblPrEx>
          <w:tblCellMar>
            <w:top w:w="0" w:type="dxa"/>
            <w:bottom w:w="0" w:type="dxa"/>
          </w:tblCellMar>
        </w:tblPrEx>
        <w:trPr>
          <w:trHeight w:val="200"/>
        </w:trPr>
        <w:tc>
          <w:tcPr>
            <w:tcW w:w="450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Макогон Олексiй Миколайович</w:t>
            </w:r>
          </w:p>
        </w:tc>
        <w:tc>
          <w:tcPr>
            <w:tcW w:w="4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w:t>
            </w:r>
          </w:p>
        </w:tc>
        <w:tc>
          <w:tcPr>
            <w:tcW w:w="44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Росiя, Самара</w:t>
            </w:r>
          </w:p>
        </w:tc>
        <w:tc>
          <w:tcPr>
            <w:tcW w:w="2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28 167</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Опис наявних у особи відносин контролю над емітентом</w:t>
            </w:r>
          </w:p>
        </w:tc>
      </w:tr>
      <w:tr w:rsidR="00000000">
        <w:tblPrEx>
          <w:tblCellMar>
            <w:top w:w="0" w:type="dxa"/>
            <w:bottom w:w="0" w:type="dxa"/>
          </w:tblCellMar>
        </w:tblPrEx>
        <w:trPr>
          <w:trHeight w:val="200"/>
        </w:trPr>
        <w:tc>
          <w:tcPr>
            <w:tcW w:w="15400" w:type="dxa"/>
            <w:gridSpan w:val="4"/>
            <w:tcBorders>
              <w:top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Контролю над емiтентом немає.</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rPr>
        <w:sectPr w:rsidR="00000000">
          <w:pgSz w:w="16837" w:h="11905" w:orient="landscape"/>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sz w:val="24"/>
          <w:szCs w:val="24"/>
        </w:rPr>
        <w:t>VI. Список посилань на регульовану інформацію, яка була розкрита протягом звітного року</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b/>
          <w:bCs/>
          <w:i/>
          <w:iCs/>
          <w:sz w:val="24"/>
          <w:szCs w:val="24"/>
        </w:rPr>
        <w:t>2. Особлива інформація</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50"/>
        <w:gridCol w:w="2450"/>
        <w:gridCol w:w="1500"/>
        <w:gridCol w:w="5500"/>
      </w:tblGrid>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з/п</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Вид особливої інформації</w:t>
            </w:r>
          </w:p>
        </w:tc>
        <w:tc>
          <w:tcPr>
            <w:tcW w:w="1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Дата розкриття інформації</w:t>
            </w:r>
          </w:p>
        </w:tc>
        <w:tc>
          <w:tcPr>
            <w:tcW w:w="55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URL-адреси, за якими розміщена інформація, яка розкривалася протягом звітного року</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55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4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Відомості про зміну складу посадових осіб емітента</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Вiдповiдно до Наказу №9-К вiд 14.02.2024 року Слободянюк Тетяна Петрiвна звiльнена з посади головного бухгалтера по переведенню на iншу посаду. Володiє 0,006161% статутного капiталу. Перебувала на п</w:t>
            </w:r>
            <w:r>
              <w:rPr>
                <w:rFonts w:ascii="Times New Roman CYR" w:hAnsi="Times New Roman CYR" w:cs="Times New Roman CYR"/>
              </w:rPr>
              <w:t xml:space="preserve">осадi з 15.03.1995 року по 14.02.2024 року. Гервазюк Денис Анатолiйович призначений на посаду головного бухгалтера Наказом №8-К вiд 14.02.2024 року безстроково. Посадова особа не володiє часткою у статутному капiталi. Протягом останнiх п'яти рокiв обiймав </w:t>
            </w:r>
            <w:r>
              <w:rPr>
                <w:rFonts w:ascii="Times New Roman CYR" w:hAnsi="Times New Roman CYR" w:cs="Times New Roman CYR"/>
              </w:rPr>
              <w:t>посаду начальника вiддiлу органiзацiї працi та заробiтної плати АТ "Ямпiльський приладобудiвний завод".</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25.03.2024</w:t>
            </w:r>
          </w:p>
        </w:tc>
        <w:tc>
          <w:tcPr>
            <w:tcW w:w="55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https://smida.gov.ua/db/feed/108948</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https://jampprilad.pat.ua/emitents/reports/special/20917</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24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Відомості про прийняття рішення про попереднє надання згоди на вчинення значних правочинів</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Вирiшили: попередньо надати згоду Товариства на укладення значних правочинiв (кредитних угод, договорiв застави/iпотеки, поставки, комiсiї, безвiдсоткової поворотної</w:t>
            </w:r>
            <w:r>
              <w:rPr>
                <w:rFonts w:ascii="Times New Roman CYR" w:hAnsi="Times New Roman CYR" w:cs="Times New Roman CYR"/>
              </w:rPr>
              <w:t xml:space="preserve"> фiнансової допомоги, купiвлi-продажу, оренди, </w:t>
            </w:r>
            <w:r>
              <w:rPr>
                <w:rFonts w:ascii="Times New Roman CYR" w:hAnsi="Times New Roman CYR" w:cs="Times New Roman CYR"/>
              </w:rPr>
              <w:lastRenderedPageBreak/>
              <w:t>поруки, зберiгання тощо та вiдповiдних додаткових угод до таких договорiв), якi будуть укладенi Товариством протягом року з моменту проведення цих загальних зборiв Товариства, на суму не бiльше як 50 % вартост</w:t>
            </w:r>
            <w:r>
              <w:rPr>
                <w:rFonts w:ascii="Times New Roman CYR" w:hAnsi="Times New Roman CYR" w:cs="Times New Roman CYR"/>
              </w:rPr>
              <w:t>i активiв за даними рiчної звiтностi за 2023 рiк (на загальну сукупну суму/вартiсть не бiльш 17746,65 тис.грн. за умови надання попередньої згоди на їх укладення Наглядовою Радою Товариства. Вартiсть активiв емiтента за даними останньої рiчної фiнансової з</w:t>
            </w:r>
            <w:r>
              <w:rPr>
                <w:rFonts w:ascii="Times New Roman CYR" w:hAnsi="Times New Roman CYR" w:cs="Times New Roman CYR"/>
              </w:rPr>
              <w:t>вiтностi за 2023 р. склала 35493,3 тис. грн. Уповноважити на пiдписання значних правочинiв вiд iменi Товариства Голову правлiння Товариства або уповноважену особу, що дiє на пiдставi нотарiально посвiдченої довiреностi та визначена рiшенням Наглядової Ради</w:t>
            </w:r>
            <w:r>
              <w:rPr>
                <w:rFonts w:ascii="Times New Roman CYR" w:hAnsi="Times New Roman CYR" w:cs="Times New Roman CYR"/>
              </w:rPr>
              <w:t xml:space="preserve"> Товариства щодо надання попередньої згоди на укладення вiдповiдних договорiв.</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30.04.2024</w:t>
            </w:r>
          </w:p>
        </w:tc>
        <w:tc>
          <w:tcPr>
            <w:tcW w:w="55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https://smida.gov.ua/db/feed/111660</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https://jampprilad.pat.ua/emitents/reports/special/21031</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3</w:t>
            </w:r>
          </w:p>
        </w:tc>
        <w:tc>
          <w:tcPr>
            <w:tcW w:w="24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Відомості про зміну складу посадових осіб емітента</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xml:space="preserve">Згiдно з прийнятим </w:t>
            </w:r>
            <w:r>
              <w:rPr>
                <w:rFonts w:ascii="Times New Roman CYR" w:hAnsi="Times New Roman CYR" w:cs="Times New Roman CYR"/>
              </w:rPr>
              <w:t xml:space="preserve">рiшенням рiчними загальними зборами АТ "Ямпiльський приладобудiвний завод", якi проводились дистанцiйно 25.04.2024 р., та згiдно зi зведеними даними про результати голосування, отриманими вiд </w:t>
            </w:r>
            <w:r>
              <w:rPr>
                <w:rFonts w:ascii="Times New Roman CYR" w:hAnsi="Times New Roman CYR" w:cs="Times New Roman CYR"/>
              </w:rPr>
              <w:lastRenderedPageBreak/>
              <w:t>Нацiонального депозитарiя України 30.04.2024 р. вирiшили:</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прип</w:t>
            </w:r>
            <w:r>
              <w:rPr>
                <w:rFonts w:ascii="Times New Roman CYR" w:hAnsi="Times New Roman CYR" w:cs="Times New Roman CYR"/>
              </w:rPr>
              <w:t>инити повноваження Голови Ревiзiйної комiсiї Жираєвої Людмили Вячеславiвни та Члена Ревiзiйної комiсiї Шатохiної Галини Спиридонiвни, у зв'язку iз змiнами до статуту. Припинити повноваження Голови Наглядової ради Патлатюка Петра Миколайовича, Членiв Нагляд</w:t>
            </w:r>
            <w:r>
              <w:rPr>
                <w:rFonts w:ascii="Times New Roman CYR" w:hAnsi="Times New Roman CYR" w:cs="Times New Roman CYR"/>
              </w:rPr>
              <w:t>ової ради Грiшкiної Надiї Єгорiвни, Кошельової Тетяни Олександрiвни, Чефранова Iгоря Євгеновича, Мiрчева Петра Степановича у зв'язку iз за закiнченням термiну повноважень. Обрати на посаду Голови Наглядової ради Патлатюка Петра Миколайовича,  Членiв Нагляд</w:t>
            </w:r>
            <w:r>
              <w:rPr>
                <w:rFonts w:ascii="Times New Roman CYR" w:hAnsi="Times New Roman CYR" w:cs="Times New Roman CYR"/>
              </w:rPr>
              <w:t>ової ради Грiшкiну Надiю Єгорiвну, Мiрчева Петра Степановича, Чефранова Iгоря Євгеновича, Кошельову Тетяну Олександрiвну строком на три роки.</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30.04.2024</w:t>
            </w:r>
          </w:p>
        </w:tc>
        <w:tc>
          <w:tcPr>
            <w:tcW w:w="55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https://smida.gov.ua/db/feed/111661</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https://jampprilad.pat.ua/emitents/reports/special/21030</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b/>
          <w:bCs/>
          <w:i/>
          <w:iCs/>
          <w:sz w:val="24"/>
          <w:szCs w:val="24"/>
        </w:rPr>
      </w:pPr>
      <w:r>
        <w:rPr>
          <w:rFonts w:ascii="Times New Roman CYR" w:hAnsi="Times New Roman CYR" w:cs="Times New Roman CYR"/>
          <w:b/>
          <w:bCs/>
          <w:i/>
          <w:iCs/>
          <w:sz w:val="24"/>
          <w:szCs w:val="24"/>
        </w:rPr>
        <w:t>3. Інша інформація</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50"/>
        <w:gridCol w:w="2450"/>
        <w:gridCol w:w="1500"/>
        <w:gridCol w:w="5500"/>
      </w:tblGrid>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з/п</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Вид іншої інформації</w:t>
            </w:r>
          </w:p>
        </w:tc>
        <w:tc>
          <w:tcPr>
            <w:tcW w:w="1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Дата розкриття інформації</w:t>
            </w:r>
          </w:p>
        </w:tc>
        <w:tc>
          <w:tcPr>
            <w:tcW w:w="55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URL-адреси, за якими розміщена інформація, яка розкривалася протягом звітного року</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4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50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55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000000">
        <w:tblPrEx>
          <w:tblCellMar>
            <w:top w:w="0" w:type="dxa"/>
            <w:bottom w:w="0" w:type="dxa"/>
          </w:tblCellMar>
        </w:tblPrEx>
        <w:trPr>
          <w:trHeight w:val="200"/>
        </w:trPr>
        <w:tc>
          <w:tcPr>
            <w:tcW w:w="550" w:type="dxa"/>
            <w:tcBorders>
              <w:top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245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Відомості про проведення загальних зборів</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 xml:space="preserve">Акцiонерне товариство "Ямпiльський приладобудiвний завод" повiдомляє про дистанцiйне проведення рiчних загальних зборiв 25 квiтня 2024 року, що </w:t>
            </w:r>
            <w:r>
              <w:rPr>
                <w:rFonts w:ascii="Times New Roman CYR" w:hAnsi="Times New Roman CYR" w:cs="Times New Roman CYR"/>
              </w:rPr>
              <w:lastRenderedPageBreak/>
              <w:t>будуть проведенi у вiдповiдностi до Порядку скликання та проведення дистанцiйних загальних зборiв акцiонерiв, за</w:t>
            </w:r>
            <w:r>
              <w:rPr>
                <w:rFonts w:ascii="Times New Roman CYR" w:hAnsi="Times New Roman CYR" w:cs="Times New Roman CYR"/>
              </w:rPr>
              <w:t>твердженого рiшенням НКЦПФР 06.03.2023р. № 236. Дата складання перелiку акцiонерiв, якi мають право на участь у загальних зборах - 22 квiтня 2024 року.</w:t>
            </w:r>
          </w:p>
        </w:tc>
        <w:tc>
          <w:tcPr>
            <w:tcW w:w="1500" w:type="dxa"/>
            <w:tcBorders>
              <w:top w:val="single" w:sz="6" w:space="0" w:color="auto"/>
              <w:left w:val="single" w:sz="6" w:space="0" w:color="auto"/>
              <w:bottom w:val="single" w:sz="6" w:space="0" w:color="auto"/>
              <w:right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lastRenderedPageBreak/>
              <w:t>22.03.2024</w:t>
            </w:r>
          </w:p>
        </w:tc>
        <w:tc>
          <w:tcPr>
            <w:tcW w:w="5500" w:type="dxa"/>
            <w:tcBorders>
              <w:top w:val="single" w:sz="6" w:space="0" w:color="auto"/>
              <w:left w:val="single" w:sz="6" w:space="0" w:color="auto"/>
              <w:bottom w:val="single" w:sz="6" w:space="0" w:color="auto"/>
            </w:tcBorders>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https://smida.gov.ua/db/feed/108695</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https://jampprilad.pat.ua/documents/povidomlennya-pro-zbo</w:t>
            </w:r>
            <w:r>
              <w:rPr>
                <w:rFonts w:ascii="Times New Roman CYR" w:hAnsi="Times New Roman CYR" w:cs="Times New Roman CYR"/>
              </w:rPr>
              <w:t>ri?doc=101637</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Фінансова звітність</w:t>
      </w: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малого підприємництва</w:t>
      </w:r>
    </w:p>
    <w:tbl>
      <w:tblPr>
        <w:tblW w:w="0" w:type="auto"/>
        <w:tblInd w:w="108" w:type="dxa"/>
        <w:tblLayout w:type="fixed"/>
        <w:tblLook w:val="0000" w:firstRow="0" w:lastRow="0" w:firstColumn="0" w:lastColumn="0" w:noHBand="0" w:noVBand="0"/>
      </w:tblPr>
      <w:tblGrid>
        <w:gridCol w:w="2160"/>
        <w:gridCol w:w="4490"/>
        <w:gridCol w:w="1990"/>
        <w:gridCol w:w="1360"/>
      </w:tblGrid>
      <w:tr w:rsidR="00000000">
        <w:tblPrEx>
          <w:tblCellMar>
            <w:top w:w="0" w:type="dxa"/>
            <w:bottom w:w="0" w:type="dxa"/>
          </w:tblCellMar>
        </w:tblPrEx>
        <w:trPr>
          <w:gridBefore w:val="3"/>
          <w:wBefore w:w="8640" w:type="dxa"/>
          <w:trHeight w:val="298"/>
        </w:trPr>
        <w:tc>
          <w:tcPr>
            <w:tcW w:w="13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КОДИ</w:t>
            </w:r>
          </w:p>
        </w:tc>
      </w:tr>
      <w:tr w:rsidR="00000000">
        <w:tblPrEx>
          <w:tblCellMar>
            <w:top w:w="0" w:type="dxa"/>
            <w:bottom w:w="0" w:type="dxa"/>
          </w:tblCellMar>
        </w:tblPrEx>
        <w:trPr>
          <w:gridBefore w:val="2"/>
          <w:wBefore w:w="6650" w:type="dxa"/>
          <w:trHeight w:val="298"/>
        </w:trPr>
        <w:tc>
          <w:tcPr>
            <w:tcW w:w="1990" w:type="dxa"/>
            <w:tcBorders>
              <w:top w:val="nil"/>
              <w:left w:val="nil"/>
              <w:bottom w:val="nil"/>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Дата (рік, місяць, число)</w:t>
            </w:r>
          </w:p>
        </w:tc>
        <w:tc>
          <w:tcPr>
            <w:tcW w:w="13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2025.01.01</w:t>
            </w:r>
          </w:p>
        </w:tc>
      </w:tr>
      <w:tr w:rsidR="00000000">
        <w:tblPrEx>
          <w:tblCellMar>
            <w:top w:w="0" w:type="dxa"/>
            <w:bottom w:w="0" w:type="dxa"/>
          </w:tblCellMar>
        </w:tblPrEx>
        <w:tc>
          <w:tcPr>
            <w:tcW w:w="2160" w:type="dxa"/>
            <w:tcBorders>
              <w:top w:val="nil"/>
              <w:left w:val="nil"/>
              <w:bottom w:val="nil"/>
              <w:right w:val="nil"/>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Підприємство</w:t>
            </w:r>
          </w:p>
        </w:tc>
        <w:tc>
          <w:tcPr>
            <w:tcW w:w="4490" w:type="dxa"/>
            <w:vMerge w:val="restart"/>
            <w:tcBorders>
              <w:top w:val="nil"/>
              <w:left w:val="nil"/>
              <w:bottom w:val="nil"/>
              <w:right w:val="nil"/>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АКЦIОНЕРНЕ ТОВАРИСТВО "ЯМПIЛЬСЬКИЙ ПРИЛАДОБУДIВНИЙ ЗАВОД"</w:t>
            </w:r>
          </w:p>
        </w:tc>
        <w:tc>
          <w:tcPr>
            <w:tcW w:w="1990" w:type="dxa"/>
            <w:tcBorders>
              <w:top w:val="nil"/>
              <w:left w:val="nil"/>
              <w:bottom w:val="nil"/>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за ЄДРПОУ</w:t>
            </w:r>
          </w:p>
        </w:tc>
        <w:tc>
          <w:tcPr>
            <w:tcW w:w="13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14309729</w:t>
            </w:r>
          </w:p>
        </w:tc>
      </w:tr>
      <w:tr w:rsidR="00000000">
        <w:tblPrEx>
          <w:tblCellMar>
            <w:top w:w="0" w:type="dxa"/>
            <w:bottom w:w="0" w:type="dxa"/>
          </w:tblCellMar>
        </w:tblPrEx>
        <w:tc>
          <w:tcPr>
            <w:tcW w:w="2160" w:type="dxa"/>
            <w:tcBorders>
              <w:top w:val="nil"/>
              <w:left w:val="nil"/>
              <w:bottom w:val="nil"/>
              <w:right w:val="nil"/>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Територія</w:t>
            </w:r>
          </w:p>
        </w:tc>
        <w:tc>
          <w:tcPr>
            <w:tcW w:w="4490" w:type="dxa"/>
            <w:vMerge w:val="restart"/>
            <w:tcBorders>
              <w:top w:val="nil"/>
              <w:left w:val="nil"/>
              <w:bottom w:val="nil"/>
              <w:right w:val="nil"/>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w:t>
            </w:r>
          </w:p>
        </w:tc>
        <w:tc>
          <w:tcPr>
            <w:tcW w:w="1990" w:type="dxa"/>
            <w:tcBorders>
              <w:top w:val="nil"/>
              <w:left w:val="nil"/>
              <w:bottom w:val="nil"/>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за КАТОТТГ</w:t>
            </w:r>
          </w:p>
        </w:tc>
        <w:tc>
          <w:tcPr>
            <w:tcW w:w="13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UA05080110010069634</w:t>
            </w:r>
          </w:p>
        </w:tc>
      </w:tr>
      <w:tr w:rsidR="00000000">
        <w:tblPrEx>
          <w:tblCellMar>
            <w:top w:w="0" w:type="dxa"/>
            <w:bottom w:w="0" w:type="dxa"/>
          </w:tblCellMar>
        </w:tblPrEx>
        <w:tc>
          <w:tcPr>
            <w:tcW w:w="2160" w:type="dxa"/>
            <w:tcBorders>
              <w:top w:val="nil"/>
              <w:left w:val="nil"/>
              <w:bottom w:val="nil"/>
              <w:right w:val="nil"/>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Організаційно-п</w:t>
            </w:r>
            <w:r>
              <w:rPr>
                <w:rFonts w:ascii="Times New Roman CYR" w:hAnsi="Times New Roman CYR" w:cs="Times New Roman CYR"/>
                <w:b/>
                <w:bCs/>
              </w:rPr>
              <w:t>равова форма господарювання</w:t>
            </w:r>
          </w:p>
        </w:tc>
        <w:tc>
          <w:tcPr>
            <w:tcW w:w="4490" w:type="dxa"/>
            <w:vMerge w:val="restart"/>
            <w:tcBorders>
              <w:top w:val="nil"/>
              <w:left w:val="nil"/>
              <w:bottom w:val="nil"/>
              <w:right w:val="nil"/>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Акціонерне товариство</w:t>
            </w:r>
          </w:p>
        </w:tc>
        <w:tc>
          <w:tcPr>
            <w:tcW w:w="1990" w:type="dxa"/>
            <w:tcBorders>
              <w:top w:val="nil"/>
              <w:left w:val="nil"/>
              <w:bottom w:val="nil"/>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за КОПФГ</w:t>
            </w:r>
          </w:p>
        </w:tc>
        <w:tc>
          <w:tcPr>
            <w:tcW w:w="13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230</w:t>
            </w:r>
          </w:p>
        </w:tc>
      </w:tr>
      <w:tr w:rsidR="00000000">
        <w:tblPrEx>
          <w:tblCellMar>
            <w:top w:w="0" w:type="dxa"/>
            <w:bottom w:w="0" w:type="dxa"/>
          </w:tblCellMar>
        </w:tblPrEx>
        <w:trPr>
          <w:trHeight w:val="298"/>
        </w:trPr>
        <w:tc>
          <w:tcPr>
            <w:tcW w:w="2160" w:type="dxa"/>
            <w:vMerge w:val="restart"/>
            <w:tcBorders>
              <w:top w:val="nil"/>
              <w:left w:val="nil"/>
              <w:bottom w:val="nil"/>
              <w:right w:val="nil"/>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Вид економічної діяльності</w:t>
            </w:r>
          </w:p>
        </w:tc>
        <w:tc>
          <w:tcPr>
            <w:tcW w:w="4490" w:type="dxa"/>
            <w:vMerge w:val="restart"/>
            <w:tcBorders>
              <w:top w:val="nil"/>
              <w:left w:val="nil"/>
              <w:bottom w:val="nil"/>
              <w:right w:val="nil"/>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Виробництво інструментів і обладнання для вимірювання, дослідження та навігації</w:t>
            </w:r>
          </w:p>
        </w:tc>
        <w:tc>
          <w:tcPr>
            <w:tcW w:w="1990" w:type="dxa"/>
            <w:tcBorders>
              <w:top w:val="nil"/>
              <w:left w:val="nil"/>
              <w:bottom w:val="nil"/>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b/>
                <w:bCs/>
              </w:rPr>
            </w:pPr>
            <w:r>
              <w:rPr>
                <w:rFonts w:ascii="Times New Roman CYR" w:hAnsi="Times New Roman CYR" w:cs="Times New Roman CYR"/>
                <w:b/>
                <w:bCs/>
              </w:rPr>
              <w:t>за КВЕД</w:t>
            </w:r>
          </w:p>
        </w:tc>
        <w:tc>
          <w:tcPr>
            <w:tcW w:w="136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26.51</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Середня кількість працівників, осіб: </w:t>
      </w:r>
      <w:r>
        <w:rPr>
          <w:rFonts w:ascii="Times New Roman CYR" w:hAnsi="Times New Roman CYR" w:cs="Times New Roman CYR"/>
        </w:rPr>
        <w:t>101</w:t>
      </w:r>
    </w:p>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Одиниця виміру: </w:t>
      </w:r>
      <w:r>
        <w:rPr>
          <w:rFonts w:ascii="Times New Roman CYR" w:hAnsi="Times New Roman CYR" w:cs="Times New Roman CYR"/>
        </w:rPr>
        <w:t>тис.грн. з одним десятковим знаком</w:t>
      </w:r>
    </w:p>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Адреса, телефон: </w:t>
      </w:r>
      <w:r>
        <w:rPr>
          <w:rFonts w:ascii="Times New Roman CYR" w:hAnsi="Times New Roman CYR" w:cs="Times New Roman CYR"/>
        </w:rPr>
        <w:t>24500, Вінницька обл., Могилiв-Подiльський р-н, м.Ямпiль, вул.ЗАМОСТЯНСЬКА, будинок 83А, (04336) 2-11-04, (04336) 2-19-40</w:t>
      </w:r>
    </w:p>
    <w:p w:rsidR="00000000" w:rsidRDefault="00DA6563">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1. Баланс</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31.12.2024 p.</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Форма №1-м</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850"/>
        <w:gridCol w:w="776"/>
        <w:gridCol w:w="874"/>
        <w:gridCol w:w="855"/>
        <w:gridCol w:w="645"/>
        <w:gridCol w:w="1000"/>
      </w:tblGrid>
      <w:tr w:rsidR="00000000">
        <w:tblPrEx>
          <w:tblCellMar>
            <w:top w:w="0" w:type="dxa"/>
            <w:bottom w:w="0" w:type="dxa"/>
          </w:tblCellMar>
        </w:tblPrEx>
        <w:trPr>
          <w:gridBefore w:val="3"/>
          <w:wBefore w:w="7500" w:type="dxa"/>
          <w:trHeight w:val="280"/>
        </w:trPr>
        <w:tc>
          <w:tcPr>
            <w:tcW w:w="1500" w:type="dxa"/>
            <w:gridSpan w:val="2"/>
            <w:tcBorders>
              <w:top w:val="nil"/>
              <w:left w:val="nil"/>
              <w:bottom w:val="nil"/>
              <w:right w:val="single" w:sz="6" w:space="0" w:color="auto"/>
            </w:tcBorders>
            <w:vAlign w:val="center"/>
          </w:tcPr>
          <w:p w:rsidR="00000000" w:rsidRDefault="00DA6563">
            <w:pPr>
              <w:widowControl w:val="0"/>
              <w:autoSpaceDE w:val="0"/>
              <w:autoSpaceDN w:val="0"/>
              <w:adjustRightInd w:val="0"/>
              <w:spacing w:after="0" w:line="240" w:lineRule="auto"/>
              <w:jc w:val="right"/>
              <w:rPr>
                <w:rFonts w:ascii="Times New Roman CYR" w:hAnsi="Times New Roman CYR" w:cs="Times New Roman CYR"/>
              </w:rPr>
            </w:pPr>
            <w:r>
              <w:rPr>
                <w:rFonts w:ascii="Times New Roman CYR" w:hAnsi="Times New Roman CYR" w:cs="Times New Roman CYR"/>
              </w:rPr>
              <w:t>Код за ДКУД</w:t>
            </w:r>
          </w:p>
        </w:tc>
        <w:tc>
          <w:tcPr>
            <w:tcW w:w="1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right"/>
              <w:rPr>
                <w:rFonts w:ascii="Times New Roman CYR" w:hAnsi="Times New Roman CYR" w:cs="Times New Roman CYR"/>
              </w:rPr>
            </w:pPr>
            <w:r>
              <w:rPr>
                <w:rFonts w:ascii="Times New Roman CYR" w:hAnsi="Times New Roman CYR" w:cs="Times New Roman CYR"/>
              </w:rPr>
              <w:t>1801006</w:t>
            </w:r>
          </w:p>
        </w:tc>
      </w:tr>
      <w:tr w:rsidR="00000000">
        <w:tblPrEx>
          <w:tblCellMar>
            <w:top w:w="0" w:type="dxa"/>
            <w:bottom w:w="0" w:type="dxa"/>
          </w:tblCellMar>
        </w:tblPrEx>
        <w:trPr>
          <w:trHeight w:val="530"/>
        </w:trPr>
        <w:tc>
          <w:tcPr>
            <w:tcW w:w="5850" w:type="dxa"/>
            <w:tcBorders>
              <w:top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Актив</w:t>
            </w:r>
          </w:p>
        </w:tc>
        <w:tc>
          <w:tcPr>
            <w:tcW w:w="776" w:type="dxa"/>
            <w:tcBorders>
              <w:top w:val="single" w:sz="6" w:space="0" w:color="auto"/>
              <w:left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Код рядка</w:t>
            </w:r>
          </w:p>
        </w:tc>
        <w:tc>
          <w:tcPr>
            <w:tcW w:w="1729" w:type="dxa"/>
            <w:gridSpan w:val="2"/>
            <w:tcBorders>
              <w:top w:val="single" w:sz="6" w:space="0" w:color="auto"/>
              <w:left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звітного року</w:t>
            </w:r>
          </w:p>
        </w:tc>
        <w:tc>
          <w:tcPr>
            <w:tcW w:w="1645" w:type="dxa"/>
            <w:gridSpan w:val="2"/>
            <w:tcBorders>
              <w:top w:val="single" w:sz="6" w:space="0" w:color="auto"/>
              <w:left w:val="single" w:sz="6" w:space="0" w:color="auto"/>
              <w:bottom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звітного періоду</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776" w:type="dxa"/>
            <w:tcBorders>
              <w:top w:val="single" w:sz="6" w:space="0" w:color="auto"/>
              <w:left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729" w:type="dxa"/>
            <w:gridSpan w:val="2"/>
            <w:tcBorders>
              <w:top w:val="single" w:sz="6" w:space="0" w:color="auto"/>
              <w:left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645" w:type="dxa"/>
            <w:gridSpan w:val="2"/>
            <w:tcBorders>
              <w:top w:val="single" w:sz="6" w:space="0" w:color="auto"/>
              <w:left w:val="single" w:sz="6" w:space="0" w:color="auto"/>
              <w:bottom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 Необоротні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Нематеріальні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Первісна вартість</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1001</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Накопичена амортизація</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1002</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Незавершені капітальні інвестиції</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Основні засоби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1010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1500,2</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2011</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первісна вартість</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1011</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9072,7</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10008,4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знос</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1012</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(7572,5)</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(7997,4)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Довгострокові біологічні активи </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1020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Довгострокові фінансові інвестиції</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1030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lastRenderedPageBreak/>
              <w:t>Інші необоротні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1090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Усього за розділом I</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1095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1500,2</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2011</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II. Оборотні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Запаси: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17064,7</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12162,8</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у тому числі готова продукція</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1103</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12015,8</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7296,7</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Поточні біологічні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1110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Дебіторська заборгованість за товари, роботи, послуги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1125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6615,7</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20854,6</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Дебіторська заборгованість за розрахунками з бюджетом</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1135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5498,1</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4267,7</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у тому числі з податку на прибуток</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1136</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255,6</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Інша поточна дебіторська заборгованість</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1155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27,3</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35,1</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Поточні фінансові інвестиції</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1160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Гроші та їх еквіваленти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1165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4728,7</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9744,1</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Витрати майбутніх періодів</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1170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оборотні активи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1190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51,6</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78</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Усього за розділом II</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1195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33993,1</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47150,7</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III. Необоротні активи, утримувані для продажу, та групи вибуття</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1200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Баланс</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35493,3</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49161,7</w:t>
            </w:r>
          </w:p>
        </w:tc>
      </w:tr>
    </w:tbl>
    <w:p w:rsidR="00000000" w:rsidRDefault="00DA6563">
      <w:pPr>
        <w:widowControl w:val="0"/>
        <w:autoSpaceDE w:val="0"/>
        <w:autoSpaceDN w:val="0"/>
        <w:adjustRightInd w:val="0"/>
        <w:spacing w:after="0" w:line="240" w:lineRule="auto"/>
        <w:rPr>
          <w:rFonts w:ascii="Times New Roman CYR" w:hAnsi="Times New Roman CYR" w:cs="Times New Roman CYR"/>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850"/>
        <w:gridCol w:w="776"/>
        <w:gridCol w:w="1729"/>
        <w:gridCol w:w="1645"/>
      </w:tblGrid>
      <w:tr w:rsidR="00000000">
        <w:tblPrEx>
          <w:tblCellMar>
            <w:top w:w="0" w:type="dxa"/>
            <w:bottom w:w="0" w:type="dxa"/>
          </w:tblCellMar>
        </w:tblPrEx>
        <w:trPr>
          <w:trHeight w:val="529"/>
        </w:trPr>
        <w:tc>
          <w:tcPr>
            <w:tcW w:w="5850" w:type="dxa"/>
            <w:tcBorders>
              <w:top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Пасив</w:t>
            </w:r>
          </w:p>
        </w:tc>
        <w:tc>
          <w:tcPr>
            <w:tcW w:w="776" w:type="dxa"/>
            <w:tcBorders>
              <w:top w:val="single" w:sz="6" w:space="0" w:color="auto"/>
              <w:left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Код рядка</w:t>
            </w:r>
          </w:p>
        </w:tc>
        <w:tc>
          <w:tcPr>
            <w:tcW w:w="1729" w:type="dxa"/>
            <w:tcBorders>
              <w:top w:val="single" w:sz="6" w:space="0" w:color="auto"/>
              <w:left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початок звітного року</w:t>
            </w:r>
          </w:p>
        </w:tc>
        <w:tc>
          <w:tcPr>
            <w:tcW w:w="1645" w:type="dxa"/>
            <w:tcBorders>
              <w:top w:val="single" w:sz="6" w:space="0" w:color="auto"/>
              <w:left w:val="single" w:sz="6" w:space="0" w:color="auto"/>
              <w:bottom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На кінець звітного періоду</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776" w:type="dxa"/>
            <w:tcBorders>
              <w:top w:val="single" w:sz="6" w:space="0" w:color="auto"/>
              <w:left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729" w:type="dxa"/>
            <w:tcBorders>
              <w:top w:val="single" w:sz="6" w:space="0" w:color="auto"/>
              <w:left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645" w:type="dxa"/>
            <w:tcBorders>
              <w:top w:val="single" w:sz="6" w:space="0" w:color="auto"/>
              <w:left w:val="single" w:sz="6" w:space="0" w:color="auto"/>
              <w:bottom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 Власний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5"/>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Зареєстрований (пайовий)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1400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52,8</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52,8</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Додатковий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1410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4435,3</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4435,3</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Резервний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1415</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31,5</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31,5</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Нерозподілений прибуток (непокритий збиток)</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1420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24309</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36004,7</w:t>
            </w:r>
          </w:p>
        </w:tc>
      </w:tr>
      <w:tr w:rsidR="00000000">
        <w:tblPrEx>
          <w:tblBorders>
            <w:top w:val="none" w:sz="0" w:space="0" w:color="auto"/>
            <w:left w:val="none" w:sz="0" w:space="0" w:color="auto"/>
            <w:bottom w:val="none" w:sz="0" w:space="0" w:color="auto"/>
            <w:right w:val="none" w:sz="0" w:space="0" w:color="auto"/>
          </w:tblBorders>
          <w:tblCellMar>
            <w:top w:w="0" w:type="dxa"/>
            <w:bottom w:w="0" w:type="dxa"/>
          </w:tblCellMar>
        </w:tblPrEx>
        <w:trPr>
          <w:trHeight w:val="200"/>
        </w:trPr>
        <w:tc>
          <w:tcPr>
            <w:tcW w:w="5850"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Неоплачений капітал</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1425</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Усього за розділом I</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1495</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28828,6</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40524,3</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II. Довгострокові зобов`язання, цільове фінансування та забезпечення</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1595</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III. Поточні зобов'язання</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Короткострокові кредити банків</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1600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Поточна кредиторська заборгованість за: довгостроковими зобов'язаннями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1610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80,1</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767</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товари, роботи, послуги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1615</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1651,2</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834,1</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розрахунками з бюджетом</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1620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80,9</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1549,6</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у тому числі з податку на прибуток</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1621</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1293,6</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розрахунками зі страхування</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1625</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70,9</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216,1</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 xml:space="preserve">    розрахунками з оплати праці</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1630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277,8</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788,2</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Доходи майбутніх періодів</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1665</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поточні зобов'язання</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1690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4503,8</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4482,4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Усього за розділом III</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1695</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6664,7</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8637,4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IV. Зобов'язання, пов'язані з необоротними активами, утримуваними для продажу, та групами вибуття</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1700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Баланс</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1900</w:t>
            </w:r>
          </w:p>
        </w:tc>
        <w:tc>
          <w:tcPr>
            <w:tcW w:w="1729"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35493,3</w:t>
            </w:r>
          </w:p>
        </w:tc>
        <w:tc>
          <w:tcPr>
            <w:tcW w:w="1645"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49161,7</w:t>
            </w:r>
          </w:p>
        </w:tc>
      </w:tr>
    </w:tbl>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Примітки: Даних немає</w:t>
      </w:r>
    </w:p>
    <w:p w:rsidR="00000000" w:rsidRDefault="00DA6563">
      <w:pPr>
        <w:widowControl w:val="0"/>
        <w:autoSpaceDE w:val="0"/>
        <w:autoSpaceDN w:val="0"/>
        <w:adjustRightInd w:val="0"/>
        <w:spacing w:after="0" w:line="240" w:lineRule="auto"/>
        <w:rPr>
          <w:rFonts w:ascii="Times New Roman CYR" w:hAnsi="Times New Roman CYR" w:cs="Times New Roman CYR"/>
        </w:rPr>
      </w:pPr>
    </w:p>
    <w:p w:rsidR="00000000" w:rsidRDefault="00DA6563">
      <w:pPr>
        <w:widowControl w:val="0"/>
        <w:autoSpaceDE w:val="0"/>
        <w:autoSpaceDN w:val="0"/>
        <w:adjustRightInd w:val="0"/>
        <w:spacing w:after="0" w:line="240" w:lineRule="auto"/>
        <w:rPr>
          <w:rFonts w:ascii="Times New Roman CYR" w:hAnsi="Times New Roman CYR" w:cs="Times New Roman CYR"/>
        </w:rPr>
        <w:sectPr w:rsidR="00000000">
          <w:pgSz w:w="12240" w:h="15840"/>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lastRenderedPageBreak/>
        <w:t>2. Звіт про фінансові результати</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 2024 рік</w:t>
      </w:r>
    </w:p>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Форма №2-м</w:t>
      </w: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850"/>
        <w:gridCol w:w="776"/>
        <w:gridCol w:w="874"/>
        <w:gridCol w:w="855"/>
        <w:gridCol w:w="645"/>
        <w:gridCol w:w="1000"/>
      </w:tblGrid>
      <w:tr w:rsidR="00000000">
        <w:tblPrEx>
          <w:tblCellMar>
            <w:top w:w="0" w:type="dxa"/>
            <w:bottom w:w="0" w:type="dxa"/>
          </w:tblCellMar>
        </w:tblPrEx>
        <w:trPr>
          <w:gridBefore w:val="3"/>
          <w:wBefore w:w="7500" w:type="dxa"/>
          <w:trHeight w:val="280"/>
        </w:trPr>
        <w:tc>
          <w:tcPr>
            <w:tcW w:w="1500" w:type="dxa"/>
            <w:gridSpan w:val="2"/>
            <w:tcBorders>
              <w:top w:val="nil"/>
              <w:left w:val="nil"/>
              <w:bottom w:val="nil"/>
              <w:right w:val="single" w:sz="6" w:space="0" w:color="auto"/>
            </w:tcBorders>
            <w:vAlign w:val="center"/>
          </w:tcPr>
          <w:p w:rsidR="00000000" w:rsidRDefault="00DA6563">
            <w:pPr>
              <w:widowControl w:val="0"/>
              <w:autoSpaceDE w:val="0"/>
              <w:autoSpaceDN w:val="0"/>
              <w:adjustRightInd w:val="0"/>
              <w:spacing w:after="0" w:line="240" w:lineRule="auto"/>
              <w:jc w:val="right"/>
              <w:rPr>
                <w:rFonts w:ascii="Times New Roman CYR" w:hAnsi="Times New Roman CYR" w:cs="Times New Roman CYR"/>
              </w:rPr>
            </w:pPr>
            <w:r>
              <w:rPr>
                <w:rFonts w:ascii="Times New Roman CYR" w:hAnsi="Times New Roman CYR" w:cs="Times New Roman CYR"/>
              </w:rPr>
              <w:t>Код за ДКУД</w:t>
            </w:r>
          </w:p>
        </w:tc>
        <w:tc>
          <w:tcPr>
            <w:tcW w:w="1000" w:type="dxa"/>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right"/>
              <w:rPr>
                <w:rFonts w:ascii="Times New Roman CYR" w:hAnsi="Times New Roman CYR" w:cs="Times New Roman CYR"/>
              </w:rPr>
            </w:pPr>
            <w:r>
              <w:rPr>
                <w:rFonts w:ascii="Times New Roman CYR" w:hAnsi="Times New Roman CYR" w:cs="Times New Roman CYR"/>
              </w:rPr>
              <w:t>1801007</w:t>
            </w:r>
          </w:p>
        </w:tc>
      </w:tr>
      <w:tr w:rsidR="00000000">
        <w:tblPrEx>
          <w:tblCellMar>
            <w:top w:w="0" w:type="dxa"/>
            <w:bottom w:w="0" w:type="dxa"/>
          </w:tblCellMar>
        </w:tblPrEx>
        <w:trPr>
          <w:trHeight w:val="530"/>
        </w:trPr>
        <w:tc>
          <w:tcPr>
            <w:tcW w:w="5850" w:type="dxa"/>
            <w:tcBorders>
              <w:top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Стаття</w:t>
            </w:r>
          </w:p>
        </w:tc>
        <w:tc>
          <w:tcPr>
            <w:tcW w:w="776" w:type="dxa"/>
            <w:tcBorders>
              <w:top w:val="single" w:sz="6" w:space="0" w:color="auto"/>
              <w:left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Код рядка</w:t>
            </w:r>
          </w:p>
        </w:tc>
        <w:tc>
          <w:tcPr>
            <w:tcW w:w="1729" w:type="dxa"/>
            <w:gridSpan w:val="2"/>
            <w:tcBorders>
              <w:top w:val="single" w:sz="6" w:space="0" w:color="auto"/>
              <w:left w:val="single" w:sz="6" w:space="0" w:color="auto"/>
              <w:bottom w:val="single" w:sz="6" w:space="0" w:color="auto"/>
              <w:right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 звітний період</w:t>
            </w:r>
          </w:p>
        </w:tc>
        <w:tc>
          <w:tcPr>
            <w:tcW w:w="1645" w:type="dxa"/>
            <w:gridSpan w:val="2"/>
            <w:tcBorders>
              <w:top w:val="single" w:sz="6" w:space="0" w:color="auto"/>
              <w:left w:val="single" w:sz="6" w:space="0" w:color="auto"/>
              <w:bottom w:val="single" w:sz="6" w:space="0" w:color="auto"/>
            </w:tcBorders>
            <w:shd w:val="clear" w:color="auto" w:fill="E6E6E6"/>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За аналогічний період попереднього року</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w:t>
            </w:r>
          </w:p>
        </w:tc>
        <w:tc>
          <w:tcPr>
            <w:tcW w:w="776" w:type="dxa"/>
            <w:tcBorders>
              <w:top w:val="single" w:sz="6" w:space="0" w:color="auto"/>
              <w:left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w:t>
            </w:r>
          </w:p>
        </w:tc>
        <w:tc>
          <w:tcPr>
            <w:tcW w:w="1729" w:type="dxa"/>
            <w:gridSpan w:val="2"/>
            <w:tcBorders>
              <w:top w:val="single" w:sz="6" w:space="0" w:color="auto"/>
              <w:left w:val="single" w:sz="6" w:space="0" w:color="auto"/>
              <w:bottom w:val="single" w:sz="6" w:space="0" w:color="auto"/>
              <w:right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w:t>
            </w:r>
          </w:p>
        </w:tc>
        <w:tc>
          <w:tcPr>
            <w:tcW w:w="1645" w:type="dxa"/>
            <w:gridSpan w:val="2"/>
            <w:tcBorders>
              <w:top w:val="single" w:sz="6" w:space="0" w:color="auto"/>
              <w:left w:val="single" w:sz="6" w:space="0" w:color="auto"/>
              <w:bottom w:val="single" w:sz="6" w:space="0" w:color="auto"/>
            </w:tcBorders>
            <w:shd w:val="clear" w:color="auto" w:fill="E6E6E6"/>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Чистий дохід від реалізації продукції (товарів, робіт, послуг)</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54766</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15180,4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операційні доходи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2120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1990,9</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1131,4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доходи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2240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Разом доходи </w:t>
            </w:r>
            <w:r>
              <w:rPr>
                <w:rFonts w:ascii="Times New Roman CYR" w:hAnsi="Times New Roman CYR" w:cs="Times New Roman CYR"/>
              </w:rPr>
              <w:t>(2000 + 2120 + 2240)</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2280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56756,9</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16311,8</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Собівартість реалізованої продукції (товарів, робіт, послуг)</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2050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(33662,5)</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(13715,3)</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операційні витрати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2180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(9849,5)</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(5224)</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Інші витрати</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2270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Разом витрати </w:t>
            </w:r>
            <w:r>
              <w:rPr>
                <w:rFonts w:ascii="Times New Roman CYR" w:hAnsi="Times New Roman CYR" w:cs="Times New Roman CYR"/>
              </w:rPr>
              <w:t>(2050 + 2180 + 2270)</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2285</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(43512)</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(18939,3)</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Фінансовий результат до оподаткування (2280 - 2285)</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2290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13244,9</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-2627,5</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rPr>
              <w:t>Податок на прибуток</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2300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(1549,2)</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(0)</w:t>
            </w:r>
          </w:p>
        </w:tc>
      </w:tr>
      <w:tr w:rsidR="00000000">
        <w:tblPrEx>
          <w:tblCellMar>
            <w:top w:w="0" w:type="dxa"/>
            <w:bottom w:w="0" w:type="dxa"/>
          </w:tblCellMar>
        </w:tblPrEx>
        <w:trPr>
          <w:trHeight w:val="200"/>
        </w:trPr>
        <w:tc>
          <w:tcPr>
            <w:tcW w:w="5850" w:type="dxa"/>
            <w:tcBorders>
              <w:top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rPr>
                <w:rFonts w:ascii="Times New Roman CYR" w:hAnsi="Times New Roman CYR" w:cs="Times New Roman CYR"/>
              </w:rPr>
            </w:pPr>
            <w:r>
              <w:rPr>
                <w:rFonts w:ascii="Times New Roman CYR" w:hAnsi="Times New Roman CYR" w:cs="Times New Roman CYR"/>
                <w:b/>
                <w:bCs/>
              </w:rPr>
              <w:t xml:space="preserve">Чистий прибуток (збиток) </w:t>
            </w:r>
            <w:r>
              <w:rPr>
                <w:rFonts w:ascii="Times New Roman CYR" w:hAnsi="Times New Roman CYR" w:cs="Times New Roman CYR"/>
              </w:rPr>
              <w:t>(2290 - 2300)</w:t>
            </w:r>
          </w:p>
        </w:tc>
        <w:tc>
          <w:tcPr>
            <w:tcW w:w="776" w:type="dxa"/>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2350</w:t>
            </w:r>
          </w:p>
        </w:tc>
        <w:tc>
          <w:tcPr>
            <w:tcW w:w="1729" w:type="dxa"/>
            <w:gridSpan w:val="2"/>
            <w:tcBorders>
              <w:top w:val="single" w:sz="6" w:space="0" w:color="auto"/>
              <w:left w:val="single" w:sz="6" w:space="0" w:color="auto"/>
              <w:bottom w:val="single" w:sz="6" w:space="0" w:color="auto"/>
              <w:right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11695,7</w:t>
            </w:r>
          </w:p>
        </w:tc>
        <w:tc>
          <w:tcPr>
            <w:tcW w:w="1645" w:type="dxa"/>
            <w:gridSpan w:val="2"/>
            <w:tcBorders>
              <w:top w:val="single" w:sz="6" w:space="0" w:color="auto"/>
              <w:left w:val="single" w:sz="6" w:space="0" w:color="auto"/>
              <w:bottom w:val="single" w:sz="6" w:space="0" w:color="auto"/>
            </w:tcBorders>
            <w:vAlign w:val="center"/>
          </w:tcPr>
          <w:p w:rsidR="00000000" w:rsidRDefault="00DA6563">
            <w:pPr>
              <w:widowControl w:val="0"/>
              <w:autoSpaceDE w:val="0"/>
              <w:autoSpaceDN w:val="0"/>
              <w:adjustRightInd w:val="0"/>
              <w:spacing w:after="0" w:line="240" w:lineRule="auto"/>
              <w:jc w:val="center"/>
              <w:rPr>
                <w:rFonts w:ascii="Times New Roman CYR" w:hAnsi="Times New Roman CYR" w:cs="Times New Roman CYR"/>
              </w:rPr>
            </w:pPr>
            <w:r>
              <w:rPr>
                <w:rFonts w:ascii="Times New Roman CYR" w:hAnsi="Times New Roman CYR" w:cs="Times New Roman CYR"/>
              </w:rPr>
              <w:t>-2627,5</w:t>
            </w:r>
          </w:p>
        </w:tc>
      </w:tr>
    </w:tbl>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Примітки: Даних немає</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Керівник</w:t>
      </w:r>
      <w:r>
        <w:rPr>
          <w:rFonts w:ascii="Times New Roman CYR" w:hAnsi="Times New Roman CYR" w:cs="Times New Roman CYR"/>
        </w:rPr>
        <w:tab/>
      </w:r>
      <w:r>
        <w:rPr>
          <w:rFonts w:ascii="Times New Roman CYR" w:hAnsi="Times New Roman CYR" w:cs="Times New Roman CYR"/>
        </w:rPr>
        <w:tab/>
      </w:r>
      <w:r>
        <w:rPr>
          <w:rFonts w:ascii="Times New Roman CYR" w:hAnsi="Times New Roman CYR" w:cs="Times New Roman CYR"/>
        </w:rPr>
        <w:tab/>
      </w:r>
      <w:r>
        <w:rPr>
          <w:rFonts w:ascii="Times New Roman CYR" w:hAnsi="Times New Roman CYR" w:cs="Times New Roman CYR"/>
        </w:rPr>
        <w:tab/>
        <w:t>Кожухар Валерiй Олександрович</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p>
    <w:p w:rsidR="00000000" w:rsidRDefault="00DA6563">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rPr>
        <w:t>Головний бухгалтер</w:t>
      </w:r>
      <w:r>
        <w:rPr>
          <w:rFonts w:ascii="Times New Roman CYR" w:hAnsi="Times New Roman CYR" w:cs="Times New Roman CYR"/>
        </w:rPr>
        <w:tab/>
      </w:r>
      <w:r>
        <w:rPr>
          <w:rFonts w:ascii="Times New Roman CYR" w:hAnsi="Times New Roman CYR" w:cs="Times New Roman CYR"/>
        </w:rPr>
        <w:tab/>
      </w:r>
      <w:r>
        <w:rPr>
          <w:rFonts w:ascii="Times New Roman CYR" w:hAnsi="Times New Roman CYR" w:cs="Times New Roman CYR"/>
        </w:rPr>
        <w:tab/>
        <w:t>Гервазюк Денис Анатолiйович</w:t>
      </w:r>
    </w:p>
    <w:p w:rsidR="00000000" w:rsidRDefault="00DA6563">
      <w:pPr>
        <w:widowControl w:val="0"/>
        <w:autoSpaceDE w:val="0"/>
        <w:autoSpaceDN w:val="0"/>
        <w:adjustRightInd w:val="0"/>
        <w:spacing w:after="0" w:line="240" w:lineRule="auto"/>
        <w:jc w:val="both"/>
        <w:rPr>
          <w:rFonts w:ascii="Times New Roman CYR" w:hAnsi="Times New Roman CYR" w:cs="Times New Roman CYR"/>
        </w:rPr>
        <w:sectPr w:rsidR="00000000">
          <w:pgSz w:w="12240" w:h="15840"/>
          <w:pgMar w:top="570" w:right="720" w:bottom="570" w:left="720" w:header="720" w:footer="720" w:gutter="0"/>
          <w:cols w:space="720"/>
          <w:noEndnote/>
        </w:sectPr>
      </w:pPr>
    </w:p>
    <w:p w:rsidR="00000000" w:rsidRDefault="00DA6563">
      <w:pPr>
        <w:widowControl w:val="0"/>
        <w:autoSpaceDE w:val="0"/>
        <w:autoSpaceDN w:val="0"/>
        <w:adjustRightInd w:val="0"/>
        <w:spacing w:after="0" w:line="240" w:lineRule="auto"/>
        <w:rPr>
          <w:rFonts w:ascii="Times New Roman CYR" w:hAnsi="Times New Roman CYR" w:cs="Times New Roman CYR"/>
        </w:rPr>
      </w:pPr>
    </w:p>
    <w:p w:rsidR="00DA6563" w:rsidRDefault="00DA6563">
      <w:pPr>
        <w:widowControl w:val="0"/>
        <w:autoSpaceDE w:val="0"/>
        <w:autoSpaceDN w:val="0"/>
        <w:adjustRightInd w:val="0"/>
        <w:spacing w:after="0" w:line="240" w:lineRule="auto"/>
        <w:rPr>
          <w:rFonts w:ascii="Times New Roman CYR" w:hAnsi="Times New Roman CYR" w:cs="Times New Roman CYR"/>
        </w:rPr>
      </w:pPr>
    </w:p>
    <w:sectPr w:rsidR="00DA6563">
      <w:pgSz w:w="12240" w:h="15840"/>
      <w:pgMar w:top="570" w:right="720" w:bottom="570" w:left="72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5D7B"/>
    <w:rsid w:val="00585D7B"/>
    <w:rsid w:val="00DA65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E082FBA-6732-4D86-AA96-968E41C09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40</Pages>
  <Words>11965</Words>
  <Characters>68207</Characters>
  <Application>Microsoft Office Word</Application>
  <DocSecurity>0</DocSecurity>
  <Lines>568</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cp:revision>
  <dcterms:created xsi:type="dcterms:W3CDTF">2025-03-25T12:46:00Z</dcterms:created>
  <dcterms:modified xsi:type="dcterms:W3CDTF">2025-03-25T12:46:00Z</dcterms:modified>
</cp:coreProperties>
</file>